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0946" w14:textId="77777777" w:rsidR="00070489" w:rsidRDefault="00070489" w:rsidP="00070489">
      <w:pPr>
        <w:rPr>
          <w:b/>
          <w:bCs/>
        </w:rPr>
      </w:pPr>
    </w:p>
    <w:p w14:paraId="3559FF79" w14:textId="77777777" w:rsidR="00070489" w:rsidRDefault="00070489" w:rsidP="00000730">
      <w:pPr>
        <w:jc w:val="center"/>
        <w:rPr>
          <w:b/>
          <w:bCs/>
          <w:sz w:val="32"/>
          <w:szCs w:val="32"/>
        </w:rPr>
      </w:pPr>
    </w:p>
    <w:p w14:paraId="25895F0D" w14:textId="77777777" w:rsidR="00070489" w:rsidRDefault="00070489" w:rsidP="00000730">
      <w:pPr>
        <w:jc w:val="center"/>
        <w:rPr>
          <w:b/>
          <w:bCs/>
          <w:sz w:val="32"/>
          <w:szCs w:val="32"/>
        </w:rPr>
      </w:pPr>
    </w:p>
    <w:p w14:paraId="6173B66A" w14:textId="77777777" w:rsidR="00070489" w:rsidRDefault="00070489" w:rsidP="00000730">
      <w:pPr>
        <w:jc w:val="center"/>
        <w:rPr>
          <w:b/>
          <w:bCs/>
          <w:sz w:val="32"/>
          <w:szCs w:val="32"/>
        </w:rPr>
      </w:pPr>
    </w:p>
    <w:p w14:paraId="73BE7919" w14:textId="77777777" w:rsidR="00070489" w:rsidRDefault="00070489" w:rsidP="00000730">
      <w:pPr>
        <w:jc w:val="center"/>
        <w:rPr>
          <w:b/>
          <w:bCs/>
          <w:sz w:val="32"/>
          <w:szCs w:val="32"/>
        </w:rPr>
      </w:pPr>
    </w:p>
    <w:p w14:paraId="2F0538C2" w14:textId="77777777" w:rsidR="00070489" w:rsidRDefault="00070489" w:rsidP="00000730">
      <w:pPr>
        <w:jc w:val="center"/>
        <w:rPr>
          <w:b/>
          <w:bCs/>
          <w:sz w:val="32"/>
          <w:szCs w:val="32"/>
        </w:rPr>
      </w:pPr>
    </w:p>
    <w:p w14:paraId="3FC1299E" w14:textId="77777777" w:rsidR="00070489" w:rsidRDefault="00070489" w:rsidP="00000730">
      <w:pPr>
        <w:jc w:val="center"/>
        <w:rPr>
          <w:b/>
          <w:bCs/>
          <w:sz w:val="32"/>
          <w:szCs w:val="32"/>
        </w:rPr>
      </w:pPr>
    </w:p>
    <w:p w14:paraId="2100581D" w14:textId="77777777" w:rsidR="00070489" w:rsidRDefault="00070489" w:rsidP="00000730">
      <w:pPr>
        <w:jc w:val="center"/>
        <w:rPr>
          <w:b/>
          <w:bCs/>
          <w:sz w:val="32"/>
          <w:szCs w:val="32"/>
        </w:rPr>
      </w:pPr>
    </w:p>
    <w:p w14:paraId="4ECD0483" w14:textId="77777777" w:rsidR="00070489" w:rsidRDefault="00070489" w:rsidP="00000730">
      <w:pPr>
        <w:jc w:val="center"/>
        <w:rPr>
          <w:b/>
          <w:bCs/>
          <w:sz w:val="32"/>
          <w:szCs w:val="32"/>
        </w:rPr>
      </w:pPr>
    </w:p>
    <w:p w14:paraId="175EDE14" w14:textId="25412249" w:rsidR="00472DA8" w:rsidRPr="002C115A" w:rsidRDefault="00890B91" w:rsidP="00000730">
      <w:pPr>
        <w:jc w:val="center"/>
        <w:rPr>
          <w:b/>
          <w:bCs/>
          <w:sz w:val="36"/>
          <w:szCs w:val="36"/>
        </w:rPr>
      </w:pPr>
      <w:r w:rsidRPr="002C115A">
        <w:rPr>
          <w:b/>
          <w:bCs/>
          <w:sz w:val="36"/>
          <w:szCs w:val="36"/>
        </w:rPr>
        <w:t>Põhiseaduse § 148 lõike 1 punktide 1 ja 2 tõlgendamisest</w:t>
      </w:r>
    </w:p>
    <w:p w14:paraId="19778BF5" w14:textId="77777777" w:rsidR="00070489" w:rsidRDefault="00070489" w:rsidP="00000730">
      <w:pPr>
        <w:jc w:val="center"/>
        <w:rPr>
          <w:b/>
          <w:bCs/>
          <w:sz w:val="32"/>
          <w:szCs w:val="32"/>
        </w:rPr>
      </w:pPr>
    </w:p>
    <w:p w14:paraId="4B37F817" w14:textId="77777777" w:rsidR="00070489" w:rsidRDefault="00070489" w:rsidP="00000730">
      <w:pPr>
        <w:jc w:val="center"/>
        <w:rPr>
          <w:b/>
          <w:bCs/>
          <w:sz w:val="32"/>
          <w:szCs w:val="32"/>
        </w:rPr>
      </w:pPr>
    </w:p>
    <w:p w14:paraId="469089F8" w14:textId="77777777" w:rsidR="00070489" w:rsidRDefault="00070489" w:rsidP="00000730">
      <w:pPr>
        <w:jc w:val="center"/>
        <w:rPr>
          <w:b/>
          <w:bCs/>
          <w:sz w:val="32"/>
          <w:szCs w:val="32"/>
        </w:rPr>
      </w:pPr>
    </w:p>
    <w:p w14:paraId="7A6C7AD6" w14:textId="77777777" w:rsidR="00070489" w:rsidRDefault="00070489" w:rsidP="00000730">
      <w:pPr>
        <w:jc w:val="center"/>
        <w:rPr>
          <w:b/>
          <w:bCs/>
          <w:sz w:val="32"/>
          <w:szCs w:val="32"/>
        </w:rPr>
      </w:pPr>
    </w:p>
    <w:p w14:paraId="6334F09D" w14:textId="77777777" w:rsidR="00070489" w:rsidRDefault="00070489" w:rsidP="00000730">
      <w:pPr>
        <w:jc w:val="center"/>
        <w:rPr>
          <w:b/>
          <w:bCs/>
          <w:sz w:val="32"/>
          <w:szCs w:val="32"/>
        </w:rPr>
      </w:pPr>
    </w:p>
    <w:p w14:paraId="679690D9" w14:textId="77777777" w:rsidR="00070489" w:rsidRDefault="00070489" w:rsidP="00000730">
      <w:pPr>
        <w:jc w:val="center"/>
        <w:rPr>
          <w:b/>
          <w:bCs/>
          <w:sz w:val="32"/>
          <w:szCs w:val="32"/>
        </w:rPr>
      </w:pPr>
    </w:p>
    <w:p w14:paraId="3F53E921" w14:textId="370CA87A" w:rsidR="00070489" w:rsidRPr="002C115A" w:rsidRDefault="00070489" w:rsidP="00070489">
      <w:pPr>
        <w:jc w:val="right"/>
        <w:rPr>
          <w:sz w:val="28"/>
          <w:szCs w:val="28"/>
        </w:rPr>
      </w:pPr>
      <w:r w:rsidRPr="002C115A">
        <w:rPr>
          <w:sz w:val="28"/>
          <w:szCs w:val="28"/>
        </w:rPr>
        <w:t>Koostaja: Janar Jäätma</w:t>
      </w:r>
    </w:p>
    <w:p w14:paraId="193EB496" w14:textId="77777777" w:rsidR="00070489" w:rsidRDefault="00070489" w:rsidP="00000730">
      <w:pPr>
        <w:jc w:val="center"/>
        <w:rPr>
          <w:b/>
          <w:bCs/>
          <w:sz w:val="32"/>
          <w:szCs w:val="32"/>
        </w:rPr>
      </w:pPr>
    </w:p>
    <w:p w14:paraId="187BEC21" w14:textId="77777777" w:rsidR="00070489" w:rsidRDefault="00070489" w:rsidP="00000730">
      <w:pPr>
        <w:jc w:val="center"/>
        <w:rPr>
          <w:b/>
          <w:bCs/>
          <w:sz w:val="32"/>
          <w:szCs w:val="32"/>
        </w:rPr>
      </w:pPr>
    </w:p>
    <w:p w14:paraId="5E0BB02C" w14:textId="77777777" w:rsidR="00070489" w:rsidRDefault="00070489" w:rsidP="00000730">
      <w:pPr>
        <w:jc w:val="center"/>
        <w:rPr>
          <w:b/>
          <w:bCs/>
          <w:sz w:val="32"/>
          <w:szCs w:val="32"/>
        </w:rPr>
      </w:pPr>
    </w:p>
    <w:p w14:paraId="1C3C6C09" w14:textId="77777777" w:rsidR="00070489" w:rsidRDefault="00070489" w:rsidP="00000730">
      <w:pPr>
        <w:jc w:val="center"/>
        <w:rPr>
          <w:b/>
          <w:bCs/>
          <w:sz w:val="32"/>
          <w:szCs w:val="32"/>
        </w:rPr>
      </w:pPr>
    </w:p>
    <w:p w14:paraId="5FBA2A40" w14:textId="77777777" w:rsidR="00070489" w:rsidRDefault="00070489" w:rsidP="00000730">
      <w:pPr>
        <w:jc w:val="center"/>
        <w:rPr>
          <w:b/>
          <w:bCs/>
          <w:sz w:val="32"/>
          <w:szCs w:val="32"/>
        </w:rPr>
      </w:pPr>
    </w:p>
    <w:p w14:paraId="1B3247BD" w14:textId="77777777" w:rsidR="00070489" w:rsidRDefault="00070489" w:rsidP="00000730">
      <w:pPr>
        <w:jc w:val="center"/>
        <w:rPr>
          <w:b/>
          <w:bCs/>
          <w:sz w:val="32"/>
          <w:szCs w:val="32"/>
        </w:rPr>
      </w:pPr>
    </w:p>
    <w:p w14:paraId="1F6A0CFD" w14:textId="72F6CF09" w:rsidR="00070489" w:rsidRPr="00070489" w:rsidRDefault="00070489" w:rsidP="00070489">
      <w:pPr>
        <w:jc w:val="center"/>
      </w:pPr>
      <w:r w:rsidRPr="00070489">
        <w:t>Tartus 25. novembril 2024</w:t>
      </w:r>
    </w:p>
    <w:sdt>
      <w:sdtPr>
        <w:rPr>
          <w:rFonts w:asciiTheme="minorHAnsi" w:eastAsiaTheme="minorHAnsi" w:hAnsiTheme="minorHAnsi" w:cstheme="minorBidi"/>
          <w:color w:val="auto"/>
          <w:kern w:val="2"/>
          <w:sz w:val="22"/>
          <w:szCs w:val="22"/>
          <w:lang w:eastAsia="en-US"/>
          <w14:ligatures w14:val="standardContextual"/>
        </w:rPr>
        <w:id w:val="471024880"/>
        <w:docPartObj>
          <w:docPartGallery w:val="Table of Contents"/>
          <w:docPartUnique/>
        </w:docPartObj>
      </w:sdtPr>
      <w:sdtEndPr>
        <w:rPr>
          <w:b/>
          <w:bCs/>
        </w:rPr>
      </w:sdtEndPr>
      <w:sdtContent>
        <w:p w14:paraId="4A70FE2B" w14:textId="0A602649" w:rsidR="0072091F" w:rsidRPr="0072091F" w:rsidRDefault="0072091F">
          <w:pPr>
            <w:pStyle w:val="Sisukorrapealkiri"/>
            <w:rPr>
              <w:rFonts w:asciiTheme="minorHAnsi" w:hAnsiTheme="minorHAnsi"/>
              <w:color w:val="auto"/>
            </w:rPr>
          </w:pPr>
          <w:r w:rsidRPr="0072091F">
            <w:rPr>
              <w:rFonts w:asciiTheme="minorHAnsi" w:hAnsiTheme="minorHAnsi"/>
              <w:color w:val="auto"/>
            </w:rPr>
            <w:t>Sisukord</w:t>
          </w:r>
        </w:p>
        <w:p w14:paraId="28FDD8FC" w14:textId="77777777" w:rsidR="0072091F" w:rsidRPr="0072091F" w:rsidRDefault="0072091F" w:rsidP="0072091F">
          <w:pPr>
            <w:rPr>
              <w:lang w:eastAsia="et-EE"/>
            </w:rPr>
          </w:pPr>
        </w:p>
        <w:p w14:paraId="283EABDB" w14:textId="3D3E875B" w:rsidR="0072091F" w:rsidRDefault="0072091F">
          <w:pPr>
            <w:pStyle w:val="SK1"/>
            <w:tabs>
              <w:tab w:val="right" w:leader="dot" w:pos="9062"/>
            </w:tabs>
            <w:rPr>
              <w:rFonts w:eastAsiaTheme="minorEastAsia"/>
              <w:noProof/>
              <w:sz w:val="24"/>
              <w:szCs w:val="24"/>
              <w:lang w:eastAsia="et-EE"/>
            </w:rPr>
          </w:pPr>
          <w:r>
            <w:fldChar w:fldCharType="begin"/>
          </w:r>
          <w:r>
            <w:instrText xml:space="preserve"> TOC \o "1-3" \h \z \u </w:instrText>
          </w:r>
          <w:r>
            <w:fldChar w:fldCharType="separate"/>
          </w:r>
          <w:hyperlink w:anchor="_Toc183436484" w:history="1">
            <w:r w:rsidRPr="005F1FA1">
              <w:rPr>
                <w:rStyle w:val="Hperlink"/>
                <w:b/>
                <w:bCs/>
                <w:noProof/>
              </w:rPr>
              <w:t>I Probleemi püstitus</w:t>
            </w:r>
            <w:r>
              <w:rPr>
                <w:noProof/>
                <w:webHidden/>
              </w:rPr>
              <w:tab/>
            </w:r>
            <w:r>
              <w:rPr>
                <w:noProof/>
                <w:webHidden/>
              </w:rPr>
              <w:fldChar w:fldCharType="begin"/>
            </w:r>
            <w:r>
              <w:rPr>
                <w:noProof/>
                <w:webHidden/>
              </w:rPr>
              <w:instrText xml:space="preserve"> PAGEREF _Toc183436484 \h </w:instrText>
            </w:r>
            <w:r>
              <w:rPr>
                <w:noProof/>
                <w:webHidden/>
              </w:rPr>
            </w:r>
            <w:r>
              <w:rPr>
                <w:noProof/>
                <w:webHidden/>
              </w:rPr>
              <w:fldChar w:fldCharType="separate"/>
            </w:r>
            <w:r>
              <w:rPr>
                <w:noProof/>
                <w:webHidden/>
              </w:rPr>
              <w:t>3</w:t>
            </w:r>
            <w:r>
              <w:rPr>
                <w:noProof/>
                <w:webHidden/>
              </w:rPr>
              <w:fldChar w:fldCharType="end"/>
            </w:r>
          </w:hyperlink>
        </w:p>
        <w:p w14:paraId="0753AC15" w14:textId="58E13C62" w:rsidR="0072091F" w:rsidRDefault="00000000">
          <w:pPr>
            <w:pStyle w:val="SK1"/>
            <w:tabs>
              <w:tab w:val="right" w:leader="dot" w:pos="9062"/>
            </w:tabs>
            <w:rPr>
              <w:rFonts w:eastAsiaTheme="minorEastAsia"/>
              <w:noProof/>
              <w:sz w:val="24"/>
              <w:szCs w:val="24"/>
              <w:lang w:eastAsia="et-EE"/>
            </w:rPr>
          </w:pPr>
          <w:hyperlink w:anchor="_Toc183436485" w:history="1">
            <w:r w:rsidR="0072091F" w:rsidRPr="005F1FA1">
              <w:rPr>
                <w:rStyle w:val="Hperlink"/>
                <w:b/>
                <w:bCs/>
                <w:noProof/>
              </w:rPr>
              <w:t>II Põhiseaduse normid</w:t>
            </w:r>
            <w:r w:rsidR="0072091F">
              <w:rPr>
                <w:noProof/>
                <w:webHidden/>
              </w:rPr>
              <w:tab/>
            </w:r>
            <w:r w:rsidR="0072091F">
              <w:rPr>
                <w:noProof/>
                <w:webHidden/>
              </w:rPr>
              <w:fldChar w:fldCharType="begin"/>
            </w:r>
            <w:r w:rsidR="0072091F">
              <w:rPr>
                <w:noProof/>
                <w:webHidden/>
              </w:rPr>
              <w:instrText xml:space="preserve"> PAGEREF _Toc183436485 \h </w:instrText>
            </w:r>
            <w:r w:rsidR="0072091F">
              <w:rPr>
                <w:noProof/>
                <w:webHidden/>
              </w:rPr>
            </w:r>
            <w:r w:rsidR="0072091F">
              <w:rPr>
                <w:noProof/>
                <w:webHidden/>
              </w:rPr>
              <w:fldChar w:fldCharType="separate"/>
            </w:r>
            <w:r w:rsidR="0072091F">
              <w:rPr>
                <w:noProof/>
                <w:webHidden/>
              </w:rPr>
              <w:t>3</w:t>
            </w:r>
            <w:r w:rsidR="0072091F">
              <w:rPr>
                <w:noProof/>
                <w:webHidden/>
              </w:rPr>
              <w:fldChar w:fldCharType="end"/>
            </w:r>
          </w:hyperlink>
        </w:p>
        <w:p w14:paraId="2FFD6511" w14:textId="613F5A38" w:rsidR="0072091F" w:rsidRDefault="00000000">
          <w:pPr>
            <w:pStyle w:val="SK1"/>
            <w:tabs>
              <w:tab w:val="right" w:leader="dot" w:pos="9062"/>
            </w:tabs>
            <w:rPr>
              <w:rFonts w:eastAsiaTheme="minorEastAsia"/>
              <w:noProof/>
              <w:sz w:val="24"/>
              <w:szCs w:val="24"/>
              <w:lang w:eastAsia="et-EE"/>
            </w:rPr>
          </w:pPr>
          <w:hyperlink w:anchor="_Toc183436486" w:history="1">
            <w:r w:rsidR="0072091F" w:rsidRPr="005F1FA1">
              <w:rPr>
                <w:rStyle w:val="Hperlink"/>
                <w:b/>
                <w:bCs/>
                <w:noProof/>
              </w:rPr>
              <w:t>III PS § 148 kujunemislugu</w:t>
            </w:r>
            <w:r w:rsidR="0072091F">
              <w:rPr>
                <w:noProof/>
                <w:webHidden/>
              </w:rPr>
              <w:tab/>
            </w:r>
            <w:r w:rsidR="0072091F">
              <w:rPr>
                <w:noProof/>
                <w:webHidden/>
              </w:rPr>
              <w:fldChar w:fldCharType="begin"/>
            </w:r>
            <w:r w:rsidR="0072091F">
              <w:rPr>
                <w:noProof/>
                <w:webHidden/>
              </w:rPr>
              <w:instrText xml:space="preserve"> PAGEREF _Toc183436486 \h </w:instrText>
            </w:r>
            <w:r w:rsidR="0072091F">
              <w:rPr>
                <w:noProof/>
                <w:webHidden/>
              </w:rPr>
            </w:r>
            <w:r w:rsidR="0072091F">
              <w:rPr>
                <w:noProof/>
                <w:webHidden/>
              </w:rPr>
              <w:fldChar w:fldCharType="separate"/>
            </w:r>
            <w:r w:rsidR="0072091F">
              <w:rPr>
                <w:noProof/>
                <w:webHidden/>
              </w:rPr>
              <w:t>3</w:t>
            </w:r>
            <w:r w:rsidR="0072091F">
              <w:rPr>
                <w:noProof/>
                <w:webHidden/>
              </w:rPr>
              <w:fldChar w:fldCharType="end"/>
            </w:r>
          </w:hyperlink>
        </w:p>
        <w:p w14:paraId="271B02F0" w14:textId="638A5A91" w:rsidR="0072091F" w:rsidRDefault="00000000">
          <w:pPr>
            <w:pStyle w:val="SK1"/>
            <w:tabs>
              <w:tab w:val="right" w:leader="dot" w:pos="9062"/>
            </w:tabs>
            <w:rPr>
              <w:rFonts w:eastAsiaTheme="minorEastAsia"/>
              <w:noProof/>
              <w:sz w:val="24"/>
              <w:szCs w:val="24"/>
              <w:lang w:eastAsia="et-EE"/>
            </w:rPr>
          </w:pPr>
          <w:hyperlink w:anchor="_Toc183436487" w:history="1">
            <w:r w:rsidR="0072091F" w:rsidRPr="005F1FA1">
              <w:rPr>
                <w:rStyle w:val="Hperlink"/>
                <w:b/>
                <w:bCs/>
                <w:noProof/>
              </w:rPr>
              <w:t>Põhiseaduse Assamblee materjalid</w:t>
            </w:r>
            <w:r w:rsidR="0072091F">
              <w:rPr>
                <w:noProof/>
                <w:webHidden/>
              </w:rPr>
              <w:tab/>
            </w:r>
            <w:r w:rsidR="0072091F">
              <w:rPr>
                <w:noProof/>
                <w:webHidden/>
              </w:rPr>
              <w:fldChar w:fldCharType="begin"/>
            </w:r>
            <w:r w:rsidR="0072091F">
              <w:rPr>
                <w:noProof/>
                <w:webHidden/>
              </w:rPr>
              <w:instrText xml:space="preserve"> PAGEREF _Toc183436487 \h </w:instrText>
            </w:r>
            <w:r w:rsidR="0072091F">
              <w:rPr>
                <w:noProof/>
                <w:webHidden/>
              </w:rPr>
            </w:r>
            <w:r w:rsidR="0072091F">
              <w:rPr>
                <w:noProof/>
                <w:webHidden/>
              </w:rPr>
              <w:fldChar w:fldCharType="separate"/>
            </w:r>
            <w:r w:rsidR="0072091F">
              <w:rPr>
                <w:noProof/>
                <w:webHidden/>
              </w:rPr>
              <w:t>3</w:t>
            </w:r>
            <w:r w:rsidR="0072091F">
              <w:rPr>
                <w:noProof/>
                <w:webHidden/>
              </w:rPr>
              <w:fldChar w:fldCharType="end"/>
            </w:r>
          </w:hyperlink>
        </w:p>
        <w:p w14:paraId="524C68C9" w14:textId="0C813332" w:rsidR="0072091F" w:rsidRDefault="00000000">
          <w:pPr>
            <w:pStyle w:val="SK1"/>
            <w:tabs>
              <w:tab w:val="right" w:leader="dot" w:pos="9062"/>
            </w:tabs>
            <w:rPr>
              <w:rFonts w:eastAsiaTheme="minorEastAsia"/>
              <w:noProof/>
              <w:sz w:val="24"/>
              <w:szCs w:val="24"/>
              <w:lang w:eastAsia="et-EE"/>
            </w:rPr>
          </w:pPr>
          <w:hyperlink w:anchor="_Toc183436488" w:history="1">
            <w:r w:rsidR="0072091F" w:rsidRPr="005F1FA1">
              <w:rPr>
                <w:rStyle w:val="Hperlink"/>
                <w:b/>
                <w:bCs/>
                <w:noProof/>
              </w:rPr>
              <w:t>Ülemnõukogu vastu võetud kohtute seadus</w:t>
            </w:r>
            <w:r w:rsidR="0072091F">
              <w:rPr>
                <w:noProof/>
                <w:webHidden/>
              </w:rPr>
              <w:tab/>
            </w:r>
            <w:r w:rsidR="0072091F">
              <w:rPr>
                <w:noProof/>
                <w:webHidden/>
              </w:rPr>
              <w:fldChar w:fldCharType="begin"/>
            </w:r>
            <w:r w:rsidR="0072091F">
              <w:rPr>
                <w:noProof/>
                <w:webHidden/>
              </w:rPr>
              <w:instrText xml:space="preserve"> PAGEREF _Toc183436488 \h </w:instrText>
            </w:r>
            <w:r w:rsidR="0072091F">
              <w:rPr>
                <w:noProof/>
                <w:webHidden/>
              </w:rPr>
            </w:r>
            <w:r w:rsidR="0072091F">
              <w:rPr>
                <w:noProof/>
                <w:webHidden/>
              </w:rPr>
              <w:fldChar w:fldCharType="separate"/>
            </w:r>
            <w:r w:rsidR="0072091F">
              <w:rPr>
                <w:noProof/>
                <w:webHidden/>
              </w:rPr>
              <w:t>4</w:t>
            </w:r>
            <w:r w:rsidR="0072091F">
              <w:rPr>
                <w:noProof/>
                <w:webHidden/>
              </w:rPr>
              <w:fldChar w:fldCharType="end"/>
            </w:r>
          </w:hyperlink>
        </w:p>
        <w:p w14:paraId="585CB851" w14:textId="31F03C37" w:rsidR="0072091F" w:rsidRDefault="00000000">
          <w:pPr>
            <w:pStyle w:val="SK1"/>
            <w:tabs>
              <w:tab w:val="right" w:leader="dot" w:pos="9062"/>
            </w:tabs>
            <w:rPr>
              <w:rFonts w:eastAsiaTheme="minorEastAsia"/>
              <w:noProof/>
              <w:sz w:val="24"/>
              <w:szCs w:val="24"/>
              <w:lang w:eastAsia="et-EE"/>
            </w:rPr>
          </w:pPr>
          <w:hyperlink w:anchor="_Toc183436489" w:history="1">
            <w:r w:rsidR="0072091F" w:rsidRPr="005F1FA1">
              <w:rPr>
                <w:rStyle w:val="Hperlink"/>
                <w:b/>
                <w:bCs/>
                <w:noProof/>
              </w:rPr>
              <w:t>Riigihoidja 6. aprilli 1938. a dekreediga antud kohtute seadustik</w:t>
            </w:r>
            <w:r w:rsidR="0072091F">
              <w:rPr>
                <w:noProof/>
                <w:webHidden/>
              </w:rPr>
              <w:tab/>
            </w:r>
            <w:r w:rsidR="0072091F">
              <w:rPr>
                <w:noProof/>
                <w:webHidden/>
              </w:rPr>
              <w:fldChar w:fldCharType="begin"/>
            </w:r>
            <w:r w:rsidR="0072091F">
              <w:rPr>
                <w:noProof/>
                <w:webHidden/>
              </w:rPr>
              <w:instrText xml:space="preserve"> PAGEREF _Toc183436489 \h </w:instrText>
            </w:r>
            <w:r w:rsidR="0072091F">
              <w:rPr>
                <w:noProof/>
                <w:webHidden/>
              </w:rPr>
            </w:r>
            <w:r w:rsidR="0072091F">
              <w:rPr>
                <w:noProof/>
                <w:webHidden/>
              </w:rPr>
              <w:fldChar w:fldCharType="separate"/>
            </w:r>
            <w:r w:rsidR="0072091F">
              <w:rPr>
                <w:noProof/>
                <w:webHidden/>
              </w:rPr>
              <w:t>5</w:t>
            </w:r>
            <w:r w:rsidR="0072091F">
              <w:rPr>
                <w:noProof/>
                <w:webHidden/>
              </w:rPr>
              <w:fldChar w:fldCharType="end"/>
            </w:r>
          </w:hyperlink>
        </w:p>
        <w:p w14:paraId="7817D855" w14:textId="69E8786C" w:rsidR="0072091F" w:rsidRDefault="00000000">
          <w:pPr>
            <w:pStyle w:val="SK1"/>
            <w:tabs>
              <w:tab w:val="right" w:leader="dot" w:pos="9062"/>
            </w:tabs>
            <w:rPr>
              <w:rFonts w:eastAsiaTheme="minorEastAsia"/>
              <w:noProof/>
              <w:sz w:val="24"/>
              <w:szCs w:val="24"/>
              <w:lang w:eastAsia="et-EE"/>
            </w:rPr>
          </w:pPr>
          <w:hyperlink w:anchor="_Toc183436490" w:history="1">
            <w:r w:rsidR="0072091F" w:rsidRPr="005F1FA1">
              <w:rPr>
                <w:rStyle w:val="Hperlink"/>
                <w:b/>
                <w:bCs/>
                <w:noProof/>
              </w:rPr>
              <w:t>Keiser Aleksander II 1889. a kohtuseadused</w:t>
            </w:r>
            <w:r w:rsidR="0072091F">
              <w:rPr>
                <w:noProof/>
                <w:webHidden/>
              </w:rPr>
              <w:tab/>
            </w:r>
            <w:r w:rsidR="0072091F">
              <w:rPr>
                <w:noProof/>
                <w:webHidden/>
              </w:rPr>
              <w:fldChar w:fldCharType="begin"/>
            </w:r>
            <w:r w:rsidR="0072091F">
              <w:rPr>
                <w:noProof/>
                <w:webHidden/>
              </w:rPr>
              <w:instrText xml:space="preserve"> PAGEREF _Toc183436490 \h </w:instrText>
            </w:r>
            <w:r w:rsidR="0072091F">
              <w:rPr>
                <w:noProof/>
                <w:webHidden/>
              </w:rPr>
            </w:r>
            <w:r w:rsidR="0072091F">
              <w:rPr>
                <w:noProof/>
                <w:webHidden/>
              </w:rPr>
              <w:fldChar w:fldCharType="separate"/>
            </w:r>
            <w:r w:rsidR="0072091F">
              <w:rPr>
                <w:noProof/>
                <w:webHidden/>
              </w:rPr>
              <w:t>5</w:t>
            </w:r>
            <w:r w:rsidR="0072091F">
              <w:rPr>
                <w:noProof/>
                <w:webHidden/>
              </w:rPr>
              <w:fldChar w:fldCharType="end"/>
            </w:r>
          </w:hyperlink>
        </w:p>
        <w:p w14:paraId="45D33E13" w14:textId="193A6C16" w:rsidR="0072091F" w:rsidRDefault="00000000">
          <w:pPr>
            <w:pStyle w:val="SK1"/>
            <w:tabs>
              <w:tab w:val="right" w:leader="dot" w:pos="9062"/>
            </w:tabs>
            <w:rPr>
              <w:rFonts w:eastAsiaTheme="minorEastAsia"/>
              <w:noProof/>
              <w:sz w:val="24"/>
              <w:szCs w:val="24"/>
              <w:lang w:eastAsia="et-EE"/>
            </w:rPr>
          </w:pPr>
          <w:hyperlink w:anchor="_Toc183436491" w:history="1">
            <w:r w:rsidR="0072091F" w:rsidRPr="005F1FA1">
              <w:rPr>
                <w:rStyle w:val="Hperlink"/>
                <w:b/>
                <w:bCs/>
                <w:noProof/>
              </w:rPr>
              <w:t>Järeldused PS § 148 kujunemisloo aluseks olnud materjalide alusel (nn geneetiline ja ajalooline argument)</w:t>
            </w:r>
            <w:r w:rsidR="0072091F">
              <w:rPr>
                <w:noProof/>
                <w:webHidden/>
              </w:rPr>
              <w:tab/>
            </w:r>
            <w:r w:rsidR="0072091F">
              <w:rPr>
                <w:noProof/>
                <w:webHidden/>
              </w:rPr>
              <w:fldChar w:fldCharType="begin"/>
            </w:r>
            <w:r w:rsidR="0072091F">
              <w:rPr>
                <w:noProof/>
                <w:webHidden/>
              </w:rPr>
              <w:instrText xml:space="preserve"> PAGEREF _Toc183436491 \h </w:instrText>
            </w:r>
            <w:r w:rsidR="0072091F">
              <w:rPr>
                <w:noProof/>
                <w:webHidden/>
              </w:rPr>
            </w:r>
            <w:r w:rsidR="0072091F">
              <w:rPr>
                <w:noProof/>
                <w:webHidden/>
              </w:rPr>
              <w:fldChar w:fldCharType="separate"/>
            </w:r>
            <w:r w:rsidR="0072091F">
              <w:rPr>
                <w:noProof/>
                <w:webHidden/>
              </w:rPr>
              <w:t>6</w:t>
            </w:r>
            <w:r w:rsidR="0072091F">
              <w:rPr>
                <w:noProof/>
                <w:webHidden/>
              </w:rPr>
              <w:fldChar w:fldCharType="end"/>
            </w:r>
          </w:hyperlink>
        </w:p>
        <w:p w14:paraId="540128DB" w14:textId="57B0563E" w:rsidR="0072091F" w:rsidRDefault="00000000">
          <w:pPr>
            <w:pStyle w:val="SK1"/>
            <w:tabs>
              <w:tab w:val="right" w:leader="dot" w:pos="9062"/>
            </w:tabs>
            <w:rPr>
              <w:rFonts w:eastAsiaTheme="minorEastAsia"/>
              <w:noProof/>
              <w:sz w:val="24"/>
              <w:szCs w:val="24"/>
              <w:lang w:eastAsia="et-EE"/>
            </w:rPr>
          </w:pPr>
          <w:hyperlink w:anchor="_Toc183436492" w:history="1">
            <w:r w:rsidR="0072091F" w:rsidRPr="005F1FA1">
              <w:rPr>
                <w:rStyle w:val="Hperlink"/>
                <w:b/>
                <w:bCs/>
                <w:noProof/>
              </w:rPr>
              <w:t>IV Riigikohtu asjakohane praktika</w:t>
            </w:r>
            <w:r w:rsidR="0072091F">
              <w:rPr>
                <w:noProof/>
                <w:webHidden/>
              </w:rPr>
              <w:tab/>
            </w:r>
            <w:r w:rsidR="0072091F">
              <w:rPr>
                <w:noProof/>
                <w:webHidden/>
              </w:rPr>
              <w:fldChar w:fldCharType="begin"/>
            </w:r>
            <w:r w:rsidR="0072091F">
              <w:rPr>
                <w:noProof/>
                <w:webHidden/>
              </w:rPr>
              <w:instrText xml:space="preserve"> PAGEREF _Toc183436492 \h </w:instrText>
            </w:r>
            <w:r w:rsidR="0072091F">
              <w:rPr>
                <w:noProof/>
                <w:webHidden/>
              </w:rPr>
            </w:r>
            <w:r w:rsidR="0072091F">
              <w:rPr>
                <w:noProof/>
                <w:webHidden/>
              </w:rPr>
              <w:fldChar w:fldCharType="separate"/>
            </w:r>
            <w:r w:rsidR="0072091F">
              <w:rPr>
                <w:noProof/>
                <w:webHidden/>
              </w:rPr>
              <w:t>8</w:t>
            </w:r>
            <w:r w:rsidR="0072091F">
              <w:rPr>
                <w:noProof/>
                <w:webHidden/>
              </w:rPr>
              <w:fldChar w:fldCharType="end"/>
            </w:r>
          </w:hyperlink>
        </w:p>
        <w:p w14:paraId="4B893E1D" w14:textId="70C5408E" w:rsidR="0072091F" w:rsidRDefault="00000000">
          <w:pPr>
            <w:pStyle w:val="SK1"/>
            <w:tabs>
              <w:tab w:val="right" w:leader="dot" w:pos="9062"/>
            </w:tabs>
            <w:rPr>
              <w:rFonts w:eastAsiaTheme="minorEastAsia"/>
              <w:noProof/>
              <w:sz w:val="24"/>
              <w:szCs w:val="24"/>
              <w:lang w:eastAsia="et-EE"/>
            </w:rPr>
          </w:pPr>
          <w:hyperlink w:anchor="_Toc183436493" w:history="1">
            <w:r w:rsidR="0072091F" w:rsidRPr="005F1FA1">
              <w:rPr>
                <w:rStyle w:val="Hperlink"/>
                <w:b/>
                <w:bCs/>
                <w:noProof/>
              </w:rPr>
              <w:t>V Metoodika</w:t>
            </w:r>
            <w:r w:rsidR="0072091F">
              <w:rPr>
                <w:noProof/>
                <w:webHidden/>
              </w:rPr>
              <w:tab/>
            </w:r>
            <w:r w:rsidR="0072091F">
              <w:rPr>
                <w:noProof/>
                <w:webHidden/>
              </w:rPr>
              <w:fldChar w:fldCharType="begin"/>
            </w:r>
            <w:r w:rsidR="0072091F">
              <w:rPr>
                <w:noProof/>
                <w:webHidden/>
              </w:rPr>
              <w:instrText xml:space="preserve"> PAGEREF _Toc183436493 \h </w:instrText>
            </w:r>
            <w:r w:rsidR="0072091F">
              <w:rPr>
                <w:noProof/>
                <w:webHidden/>
              </w:rPr>
            </w:r>
            <w:r w:rsidR="0072091F">
              <w:rPr>
                <w:noProof/>
                <w:webHidden/>
              </w:rPr>
              <w:fldChar w:fldCharType="separate"/>
            </w:r>
            <w:r w:rsidR="0072091F">
              <w:rPr>
                <w:noProof/>
                <w:webHidden/>
              </w:rPr>
              <w:t>11</w:t>
            </w:r>
            <w:r w:rsidR="0072091F">
              <w:rPr>
                <w:noProof/>
                <w:webHidden/>
              </w:rPr>
              <w:fldChar w:fldCharType="end"/>
            </w:r>
          </w:hyperlink>
        </w:p>
        <w:p w14:paraId="6B20AF3B" w14:textId="763CF9AA" w:rsidR="0072091F" w:rsidRDefault="00000000">
          <w:pPr>
            <w:pStyle w:val="SK1"/>
            <w:tabs>
              <w:tab w:val="right" w:leader="dot" w:pos="9062"/>
            </w:tabs>
            <w:rPr>
              <w:rFonts w:eastAsiaTheme="minorEastAsia"/>
              <w:noProof/>
              <w:sz w:val="24"/>
              <w:szCs w:val="24"/>
              <w:lang w:eastAsia="et-EE"/>
            </w:rPr>
          </w:pPr>
          <w:hyperlink w:anchor="_Toc183436494" w:history="1">
            <w:r w:rsidR="0072091F" w:rsidRPr="005F1FA1">
              <w:rPr>
                <w:rStyle w:val="Hperlink"/>
                <w:b/>
                <w:bCs/>
                <w:noProof/>
              </w:rPr>
              <w:t>VI Normi otstarve ja mõte</w:t>
            </w:r>
            <w:r w:rsidR="0072091F">
              <w:rPr>
                <w:noProof/>
                <w:webHidden/>
              </w:rPr>
              <w:tab/>
            </w:r>
            <w:r w:rsidR="0072091F">
              <w:rPr>
                <w:noProof/>
                <w:webHidden/>
              </w:rPr>
              <w:fldChar w:fldCharType="begin"/>
            </w:r>
            <w:r w:rsidR="0072091F">
              <w:rPr>
                <w:noProof/>
                <w:webHidden/>
              </w:rPr>
              <w:instrText xml:space="preserve"> PAGEREF _Toc183436494 \h </w:instrText>
            </w:r>
            <w:r w:rsidR="0072091F">
              <w:rPr>
                <w:noProof/>
                <w:webHidden/>
              </w:rPr>
            </w:r>
            <w:r w:rsidR="0072091F">
              <w:rPr>
                <w:noProof/>
                <w:webHidden/>
              </w:rPr>
              <w:fldChar w:fldCharType="separate"/>
            </w:r>
            <w:r w:rsidR="0072091F">
              <w:rPr>
                <w:noProof/>
                <w:webHidden/>
              </w:rPr>
              <w:t>11</w:t>
            </w:r>
            <w:r w:rsidR="0072091F">
              <w:rPr>
                <w:noProof/>
                <w:webHidden/>
              </w:rPr>
              <w:fldChar w:fldCharType="end"/>
            </w:r>
          </w:hyperlink>
        </w:p>
        <w:p w14:paraId="5FEF5C53" w14:textId="4D3B1788" w:rsidR="0072091F" w:rsidRDefault="00000000">
          <w:pPr>
            <w:pStyle w:val="SK1"/>
            <w:tabs>
              <w:tab w:val="right" w:leader="dot" w:pos="9062"/>
            </w:tabs>
            <w:rPr>
              <w:rFonts w:eastAsiaTheme="minorEastAsia"/>
              <w:noProof/>
              <w:sz w:val="24"/>
              <w:szCs w:val="24"/>
              <w:lang w:eastAsia="et-EE"/>
            </w:rPr>
          </w:pPr>
          <w:hyperlink w:anchor="_Toc183436495" w:history="1">
            <w:r w:rsidR="0072091F" w:rsidRPr="005F1FA1">
              <w:rPr>
                <w:rStyle w:val="Hperlink"/>
                <w:b/>
                <w:bCs/>
                <w:noProof/>
              </w:rPr>
              <w:t>VII Järeldus</w:t>
            </w:r>
            <w:r w:rsidR="0072091F">
              <w:rPr>
                <w:noProof/>
                <w:webHidden/>
              </w:rPr>
              <w:tab/>
            </w:r>
            <w:r w:rsidR="0072091F">
              <w:rPr>
                <w:noProof/>
                <w:webHidden/>
              </w:rPr>
              <w:fldChar w:fldCharType="begin"/>
            </w:r>
            <w:r w:rsidR="0072091F">
              <w:rPr>
                <w:noProof/>
                <w:webHidden/>
              </w:rPr>
              <w:instrText xml:space="preserve"> PAGEREF _Toc183436495 \h </w:instrText>
            </w:r>
            <w:r w:rsidR="0072091F">
              <w:rPr>
                <w:noProof/>
                <w:webHidden/>
              </w:rPr>
            </w:r>
            <w:r w:rsidR="0072091F">
              <w:rPr>
                <w:noProof/>
                <w:webHidden/>
              </w:rPr>
              <w:fldChar w:fldCharType="separate"/>
            </w:r>
            <w:r w:rsidR="0072091F">
              <w:rPr>
                <w:noProof/>
                <w:webHidden/>
              </w:rPr>
              <w:t>14</w:t>
            </w:r>
            <w:r w:rsidR="0072091F">
              <w:rPr>
                <w:noProof/>
                <w:webHidden/>
              </w:rPr>
              <w:fldChar w:fldCharType="end"/>
            </w:r>
          </w:hyperlink>
        </w:p>
        <w:p w14:paraId="7CB5B996" w14:textId="534D4969" w:rsidR="0072091F" w:rsidRDefault="00000000">
          <w:pPr>
            <w:pStyle w:val="SK1"/>
            <w:tabs>
              <w:tab w:val="right" w:leader="dot" w:pos="9062"/>
            </w:tabs>
            <w:rPr>
              <w:rFonts w:eastAsiaTheme="minorEastAsia"/>
              <w:noProof/>
              <w:sz w:val="24"/>
              <w:szCs w:val="24"/>
              <w:lang w:eastAsia="et-EE"/>
            </w:rPr>
          </w:pPr>
          <w:hyperlink w:anchor="_Toc183436496" w:history="1">
            <w:r w:rsidR="0072091F" w:rsidRPr="005F1FA1">
              <w:rPr>
                <w:rStyle w:val="Hperlink"/>
                <w:b/>
                <w:bCs/>
                <w:noProof/>
              </w:rPr>
              <w:t>Lisa: Näited teiste riikide kohtusüsteemidest</w:t>
            </w:r>
            <w:r w:rsidR="0072091F">
              <w:rPr>
                <w:noProof/>
                <w:webHidden/>
              </w:rPr>
              <w:tab/>
            </w:r>
            <w:r w:rsidR="0072091F">
              <w:rPr>
                <w:noProof/>
                <w:webHidden/>
              </w:rPr>
              <w:fldChar w:fldCharType="begin"/>
            </w:r>
            <w:r w:rsidR="0072091F">
              <w:rPr>
                <w:noProof/>
                <w:webHidden/>
              </w:rPr>
              <w:instrText xml:space="preserve"> PAGEREF _Toc183436496 \h </w:instrText>
            </w:r>
            <w:r w:rsidR="0072091F">
              <w:rPr>
                <w:noProof/>
                <w:webHidden/>
              </w:rPr>
            </w:r>
            <w:r w:rsidR="0072091F">
              <w:rPr>
                <w:noProof/>
                <w:webHidden/>
              </w:rPr>
              <w:fldChar w:fldCharType="separate"/>
            </w:r>
            <w:r w:rsidR="0072091F">
              <w:rPr>
                <w:noProof/>
                <w:webHidden/>
              </w:rPr>
              <w:t>15</w:t>
            </w:r>
            <w:r w:rsidR="0072091F">
              <w:rPr>
                <w:noProof/>
                <w:webHidden/>
              </w:rPr>
              <w:fldChar w:fldCharType="end"/>
            </w:r>
          </w:hyperlink>
        </w:p>
        <w:p w14:paraId="6BD39714" w14:textId="14DA00DF" w:rsidR="0072091F" w:rsidRDefault="0072091F">
          <w:r>
            <w:rPr>
              <w:b/>
              <w:bCs/>
            </w:rPr>
            <w:fldChar w:fldCharType="end"/>
          </w:r>
        </w:p>
      </w:sdtContent>
    </w:sdt>
    <w:p w14:paraId="1E0A1D5A" w14:textId="77777777" w:rsidR="00070489" w:rsidRDefault="00070489" w:rsidP="00000730">
      <w:pPr>
        <w:jc w:val="center"/>
        <w:rPr>
          <w:b/>
          <w:bCs/>
        </w:rPr>
      </w:pPr>
    </w:p>
    <w:p w14:paraId="3EA8A14A" w14:textId="77777777" w:rsidR="00070489" w:rsidRDefault="00070489" w:rsidP="00000730">
      <w:pPr>
        <w:jc w:val="center"/>
        <w:rPr>
          <w:b/>
          <w:bCs/>
        </w:rPr>
      </w:pPr>
    </w:p>
    <w:p w14:paraId="33A95938" w14:textId="77777777" w:rsidR="00070489" w:rsidRDefault="00070489" w:rsidP="00000730">
      <w:pPr>
        <w:jc w:val="center"/>
        <w:rPr>
          <w:b/>
          <w:bCs/>
        </w:rPr>
      </w:pPr>
    </w:p>
    <w:p w14:paraId="1A103A57" w14:textId="77777777" w:rsidR="00070489" w:rsidRDefault="00070489" w:rsidP="00000730">
      <w:pPr>
        <w:jc w:val="center"/>
        <w:rPr>
          <w:b/>
          <w:bCs/>
        </w:rPr>
      </w:pPr>
    </w:p>
    <w:p w14:paraId="5ABB34C5" w14:textId="77777777" w:rsidR="00070489" w:rsidRDefault="00070489" w:rsidP="00000730">
      <w:pPr>
        <w:jc w:val="center"/>
        <w:rPr>
          <w:b/>
          <w:bCs/>
        </w:rPr>
      </w:pPr>
    </w:p>
    <w:p w14:paraId="514A914D" w14:textId="77777777" w:rsidR="00070489" w:rsidRDefault="00070489" w:rsidP="00000730">
      <w:pPr>
        <w:jc w:val="center"/>
        <w:rPr>
          <w:b/>
          <w:bCs/>
        </w:rPr>
      </w:pPr>
    </w:p>
    <w:p w14:paraId="38A49D15" w14:textId="77777777" w:rsidR="00070489" w:rsidRDefault="00070489" w:rsidP="00000730">
      <w:pPr>
        <w:jc w:val="center"/>
        <w:rPr>
          <w:b/>
          <w:bCs/>
        </w:rPr>
      </w:pPr>
    </w:p>
    <w:p w14:paraId="58D5C93D" w14:textId="77777777" w:rsidR="00070489" w:rsidRDefault="00070489" w:rsidP="00000730">
      <w:pPr>
        <w:jc w:val="center"/>
        <w:rPr>
          <w:b/>
          <w:bCs/>
        </w:rPr>
      </w:pPr>
    </w:p>
    <w:p w14:paraId="7A9E2C5F" w14:textId="77777777" w:rsidR="00070489" w:rsidRDefault="00070489" w:rsidP="00000730">
      <w:pPr>
        <w:jc w:val="center"/>
        <w:rPr>
          <w:b/>
          <w:bCs/>
        </w:rPr>
      </w:pPr>
    </w:p>
    <w:p w14:paraId="0969841E" w14:textId="77777777" w:rsidR="00C158A7" w:rsidRDefault="00C158A7" w:rsidP="00000730">
      <w:pPr>
        <w:jc w:val="center"/>
        <w:rPr>
          <w:b/>
          <w:bCs/>
        </w:rPr>
      </w:pPr>
    </w:p>
    <w:p w14:paraId="46D342DD" w14:textId="77777777" w:rsidR="00C158A7" w:rsidRDefault="00C158A7" w:rsidP="00000730">
      <w:pPr>
        <w:jc w:val="center"/>
        <w:rPr>
          <w:b/>
          <w:bCs/>
        </w:rPr>
      </w:pPr>
    </w:p>
    <w:p w14:paraId="1D47BD28" w14:textId="77777777" w:rsidR="00C158A7" w:rsidRDefault="00C158A7" w:rsidP="00000730">
      <w:pPr>
        <w:jc w:val="center"/>
        <w:rPr>
          <w:b/>
          <w:bCs/>
        </w:rPr>
      </w:pPr>
    </w:p>
    <w:p w14:paraId="530637CE" w14:textId="77777777" w:rsidR="00070489" w:rsidRDefault="00070489" w:rsidP="00000730">
      <w:pPr>
        <w:jc w:val="center"/>
        <w:rPr>
          <w:b/>
          <w:bCs/>
        </w:rPr>
      </w:pPr>
    </w:p>
    <w:p w14:paraId="5D52FE66" w14:textId="77777777" w:rsidR="00070489" w:rsidRDefault="00070489" w:rsidP="00000730">
      <w:pPr>
        <w:jc w:val="center"/>
        <w:rPr>
          <w:b/>
          <w:bCs/>
        </w:rPr>
      </w:pPr>
    </w:p>
    <w:p w14:paraId="2EF203F5" w14:textId="77777777" w:rsidR="00C158A7" w:rsidRDefault="00C158A7" w:rsidP="00000730">
      <w:pPr>
        <w:jc w:val="center"/>
        <w:rPr>
          <w:b/>
          <w:bCs/>
        </w:rPr>
      </w:pPr>
    </w:p>
    <w:p w14:paraId="77FC2B13" w14:textId="779B85BE" w:rsidR="00EC1EA3" w:rsidRPr="00187A75" w:rsidRDefault="005B27A2" w:rsidP="00070489">
      <w:pPr>
        <w:pStyle w:val="Pealkiri1"/>
        <w:spacing w:before="0" w:after="160"/>
        <w:jc w:val="center"/>
        <w:rPr>
          <w:rFonts w:asciiTheme="minorHAnsi" w:hAnsiTheme="minorHAnsi"/>
          <w:b/>
          <w:bCs/>
          <w:color w:val="auto"/>
          <w:sz w:val="22"/>
          <w:szCs w:val="22"/>
        </w:rPr>
      </w:pPr>
      <w:bookmarkStart w:id="0" w:name="_Toc183355286"/>
      <w:bookmarkStart w:id="1" w:name="_Toc183355426"/>
      <w:bookmarkStart w:id="2" w:name="_Toc183355755"/>
      <w:bookmarkStart w:id="3" w:name="_Toc183436484"/>
      <w:r w:rsidRPr="00187A75">
        <w:rPr>
          <w:rFonts w:asciiTheme="minorHAnsi" w:hAnsiTheme="minorHAnsi"/>
          <w:b/>
          <w:bCs/>
          <w:color w:val="auto"/>
          <w:sz w:val="22"/>
          <w:szCs w:val="22"/>
        </w:rPr>
        <w:lastRenderedPageBreak/>
        <w:t>I</w:t>
      </w:r>
      <w:bookmarkStart w:id="4" w:name="_Toc183355287"/>
      <w:bookmarkEnd w:id="0"/>
      <w:r w:rsidR="00070489">
        <w:rPr>
          <w:rFonts w:asciiTheme="minorHAnsi" w:hAnsiTheme="minorHAnsi"/>
          <w:b/>
          <w:bCs/>
          <w:color w:val="auto"/>
          <w:sz w:val="22"/>
          <w:szCs w:val="22"/>
        </w:rPr>
        <w:t xml:space="preserve"> </w:t>
      </w:r>
      <w:r w:rsidR="00EC1EA3" w:rsidRPr="00187A75">
        <w:rPr>
          <w:rFonts w:asciiTheme="minorHAnsi" w:hAnsiTheme="minorHAnsi"/>
          <w:b/>
          <w:bCs/>
          <w:color w:val="auto"/>
          <w:sz w:val="22"/>
          <w:szCs w:val="22"/>
        </w:rPr>
        <w:t>Probleemi püstitus</w:t>
      </w:r>
      <w:bookmarkEnd w:id="1"/>
      <w:bookmarkEnd w:id="2"/>
      <w:bookmarkEnd w:id="3"/>
      <w:bookmarkEnd w:id="4"/>
    </w:p>
    <w:p w14:paraId="19C4E927" w14:textId="0E8C9FDD" w:rsidR="005B27A2" w:rsidRDefault="00EC1EA3" w:rsidP="00070489">
      <w:pPr>
        <w:pStyle w:val="Loendilik"/>
        <w:numPr>
          <w:ilvl w:val="0"/>
          <w:numId w:val="3"/>
        </w:numPr>
        <w:jc w:val="both"/>
      </w:pPr>
      <w:r>
        <w:t xml:space="preserve">Kas põhiseaduse kohaselt on lubatav </w:t>
      </w:r>
      <w:r w:rsidR="00911501">
        <w:t xml:space="preserve">luua </w:t>
      </w:r>
      <w:r>
        <w:t>organisatoorses mõttes</w:t>
      </w:r>
      <w:r w:rsidR="00911501">
        <w:t xml:space="preserve"> seniste maakohtute, halduskohtute ja ringkonnakohtute asemel</w:t>
      </w:r>
      <w:r>
        <w:t xml:space="preserve"> ü</w:t>
      </w:r>
      <w:r w:rsidR="00911501">
        <w:t xml:space="preserve">ks </w:t>
      </w:r>
      <w:r w:rsidR="00E15A5D">
        <w:t>maa</w:t>
      </w:r>
      <w:r w:rsidR="00911501">
        <w:t>kohus,</w:t>
      </w:r>
      <w:r w:rsidR="00E15A5D">
        <w:t xml:space="preserve"> halduskohu</w:t>
      </w:r>
      <w:r w:rsidR="00911501">
        <w:t>s</w:t>
      </w:r>
      <w:r w:rsidR="00E15A5D">
        <w:t xml:space="preserve"> </w:t>
      </w:r>
      <w:r w:rsidR="00911501">
        <w:t xml:space="preserve">ja </w:t>
      </w:r>
      <w:r>
        <w:t>ringkonnakoh</w:t>
      </w:r>
      <w:r w:rsidR="00911501">
        <w:t>us</w:t>
      </w:r>
      <w:r>
        <w:t>?</w:t>
      </w:r>
    </w:p>
    <w:p w14:paraId="63768AE1" w14:textId="77777777" w:rsidR="00070489" w:rsidRPr="00EC1EA3" w:rsidRDefault="00070489" w:rsidP="00070489">
      <w:pPr>
        <w:pStyle w:val="Loendilik"/>
        <w:jc w:val="both"/>
      </w:pPr>
    </w:p>
    <w:p w14:paraId="0736368A" w14:textId="0E516970" w:rsidR="004F445B" w:rsidRPr="00187A75" w:rsidRDefault="005B27A2" w:rsidP="00070489">
      <w:pPr>
        <w:pStyle w:val="Pealkiri1"/>
        <w:spacing w:before="0" w:after="160"/>
        <w:jc w:val="center"/>
        <w:rPr>
          <w:rFonts w:asciiTheme="minorHAnsi" w:hAnsiTheme="minorHAnsi"/>
          <w:b/>
          <w:bCs/>
          <w:color w:val="auto"/>
          <w:sz w:val="22"/>
          <w:szCs w:val="22"/>
        </w:rPr>
      </w:pPr>
      <w:bookmarkStart w:id="5" w:name="_Toc183355288"/>
      <w:bookmarkStart w:id="6" w:name="_Toc183355427"/>
      <w:bookmarkStart w:id="7" w:name="_Toc183355756"/>
      <w:bookmarkStart w:id="8" w:name="_Toc183436485"/>
      <w:r w:rsidRPr="00187A75">
        <w:rPr>
          <w:rFonts w:asciiTheme="minorHAnsi" w:hAnsiTheme="minorHAnsi"/>
          <w:b/>
          <w:bCs/>
          <w:color w:val="auto"/>
          <w:sz w:val="22"/>
          <w:szCs w:val="22"/>
        </w:rPr>
        <w:t>II</w:t>
      </w:r>
      <w:bookmarkStart w:id="9" w:name="_Toc183355289"/>
      <w:bookmarkEnd w:id="5"/>
      <w:r w:rsidR="00070489">
        <w:rPr>
          <w:rFonts w:asciiTheme="minorHAnsi" w:hAnsiTheme="minorHAnsi"/>
          <w:b/>
          <w:bCs/>
          <w:color w:val="auto"/>
          <w:sz w:val="22"/>
          <w:szCs w:val="22"/>
        </w:rPr>
        <w:t xml:space="preserve"> </w:t>
      </w:r>
      <w:r w:rsidR="00EC1EA3" w:rsidRPr="00187A75">
        <w:rPr>
          <w:rFonts w:asciiTheme="minorHAnsi" w:hAnsiTheme="minorHAnsi"/>
          <w:b/>
          <w:bCs/>
          <w:color w:val="auto"/>
          <w:sz w:val="22"/>
          <w:szCs w:val="22"/>
        </w:rPr>
        <w:t>Põhiseaduse</w:t>
      </w:r>
      <w:r w:rsidR="004F445B" w:rsidRPr="00187A75">
        <w:rPr>
          <w:rFonts w:asciiTheme="minorHAnsi" w:hAnsiTheme="minorHAnsi"/>
          <w:b/>
          <w:bCs/>
          <w:color w:val="auto"/>
          <w:sz w:val="22"/>
          <w:szCs w:val="22"/>
        </w:rPr>
        <w:t xml:space="preserve"> normid</w:t>
      </w:r>
      <w:bookmarkEnd w:id="6"/>
      <w:bookmarkEnd w:id="7"/>
      <w:bookmarkEnd w:id="8"/>
      <w:bookmarkEnd w:id="9"/>
    </w:p>
    <w:p w14:paraId="7FA148F0" w14:textId="69D7A889" w:rsidR="00DD36D0" w:rsidRDefault="00E15A5D" w:rsidP="00070489">
      <w:pPr>
        <w:pStyle w:val="Loendilik"/>
        <w:numPr>
          <w:ilvl w:val="0"/>
          <w:numId w:val="3"/>
        </w:numPr>
        <w:jc w:val="both"/>
      </w:pPr>
      <w:r>
        <w:t>„</w:t>
      </w:r>
      <w:r w:rsidR="00DD36D0">
        <w:t>§ 15. I</w:t>
      </w:r>
      <w:r w:rsidR="00DD36D0" w:rsidRPr="00DD36D0">
        <w:t>gaühel on õigus pöörduda oma õiguste ja vabaduste rikkumise korral kohtusse.</w:t>
      </w:r>
    </w:p>
    <w:p w14:paraId="359F0C8B" w14:textId="77777777" w:rsidR="00DD36D0" w:rsidRDefault="00DD36D0" w:rsidP="00DD36D0">
      <w:pPr>
        <w:pStyle w:val="Loendilik"/>
        <w:jc w:val="both"/>
      </w:pPr>
    </w:p>
    <w:p w14:paraId="475460F9" w14:textId="463F90CC" w:rsidR="00DD36D0" w:rsidRDefault="00DD36D0" w:rsidP="00DD36D0">
      <w:pPr>
        <w:pStyle w:val="Loendilik"/>
        <w:numPr>
          <w:ilvl w:val="0"/>
          <w:numId w:val="3"/>
        </w:numPr>
        <w:jc w:val="both"/>
      </w:pPr>
      <w:r>
        <w:t>§ 24. Kedagi ei tohi tema vaba tahte vastaselt üle viia seadusega määratud kohtu alluvusest teise kohtu alluvusse.</w:t>
      </w:r>
    </w:p>
    <w:p w14:paraId="0567D6D1" w14:textId="4CD41D24" w:rsidR="00DD36D0" w:rsidRDefault="00DD36D0" w:rsidP="00DD36D0">
      <w:pPr>
        <w:pStyle w:val="Loendilik"/>
        <w:jc w:val="both"/>
      </w:pPr>
      <w:r>
        <w:t>Igaühel on õigus olla oma kohtuasja arutamise juures.</w:t>
      </w:r>
    </w:p>
    <w:p w14:paraId="6E81F269" w14:textId="77777777" w:rsidR="00DD36D0" w:rsidRDefault="00DD36D0" w:rsidP="00DD36D0">
      <w:pPr>
        <w:pStyle w:val="Loendilik"/>
        <w:jc w:val="both"/>
      </w:pPr>
    </w:p>
    <w:p w14:paraId="19BF5950" w14:textId="7B5B7B97" w:rsidR="00E15A5D" w:rsidRDefault="00E15A5D" w:rsidP="00E15A5D">
      <w:pPr>
        <w:pStyle w:val="Loendilik"/>
        <w:numPr>
          <w:ilvl w:val="0"/>
          <w:numId w:val="3"/>
        </w:numPr>
        <w:jc w:val="both"/>
      </w:pPr>
      <w:r>
        <w:t>§ 148. Kohtusüsteem koosneb:</w:t>
      </w:r>
    </w:p>
    <w:p w14:paraId="5CD2199E" w14:textId="25E357E7" w:rsidR="00E15A5D" w:rsidRDefault="00E15A5D" w:rsidP="00E15A5D">
      <w:pPr>
        <w:pStyle w:val="Loendilik"/>
        <w:jc w:val="both"/>
      </w:pPr>
      <w:r>
        <w:t xml:space="preserve">1) maa- ja linnakohtutest ning halduskohtutest; </w:t>
      </w:r>
    </w:p>
    <w:p w14:paraId="032DAE26" w14:textId="59020648" w:rsidR="00E15A5D" w:rsidRDefault="00E15A5D" w:rsidP="00E15A5D">
      <w:pPr>
        <w:pStyle w:val="Loendilik"/>
        <w:jc w:val="both"/>
      </w:pPr>
      <w:r>
        <w:t xml:space="preserve">2) ringkonnakohtutest; </w:t>
      </w:r>
    </w:p>
    <w:p w14:paraId="373D1DA4" w14:textId="18C65C24" w:rsidR="00E15A5D" w:rsidRDefault="00E15A5D" w:rsidP="00E15A5D">
      <w:pPr>
        <w:pStyle w:val="Loendilik"/>
        <w:jc w:val="both"/>
      </w:pPr>
      <w:r>
        <w:t xml:space="preserve">3) Riigikohtust. </w:t>
      </w:r>
    </w:p>
    <w:p w14:paraId="7AD221F3" w14:textId="77777777" w:rsidR="00E15A5D" w:rsidRDefault="00E15A5D" w:rsidP="00E15A5D">
      <w:pPr>
        <w:pStyle w:val="Loendilik"/>
        <w:jc w:val="both"/>
      </w:pPr>
      <w:r>
        <w:t xml:space="preserve">Erikohtute loomise mõnda liiki kohtuasjade jaoks sätestab seadus. </w:t>
      </w:r>
    </w:p>
    <w:p w14:paraId="35097BA2" w14:textId="0A3DAA2C" w:rsidR="00E15A5D" w:rsidRDefault="00E15A5D" w:rsidP="00DD36D0">
      <w:pPr>
        <w:pStyle w:val="Loendilik"/>
        <w:jc w:val="both"/>
      </w:pPr>
      <w:r>
        <w:t>Erakorraliste kohtute moodustamine on keelatud.</w:t>
      </w:r>
    </w:p>
    <w:p w14:paraId="357FB5EB" w14:textId="77777777" w:rsidR="00DD36D0" w:rsidRDefault="00DD36D0" w:rsidP="00DD36D0">
      <w:pPr>
        <w:pStyle w:val="Loendilik"/>
        <w:jc w:val="both"/>
      </w:pPr>
    </w:p>
    <w:p w14:paraId="63962B9E" w14:textId="650FA162" w:rsidR="00E15A5D" w:rsidRDefault="00E15A5D" w:rsidP="00E15A5D">
      <w:pPr>
        <w:pStyle w:val="Loendilik"/>
        <w:numPr>
          <w:ilvl w:val="0"/>
          <w:numId w:val="3"/>
        </w:numPr>
        <w:jc w:val="both"/>
      </w:pPr>
      <w:r>
        <w:t>§ 149. Maa- ja linnakohtud ning halduskohtud on esimese astme kohtud.</w:t>
      </w:r>
    </w:p>
    <w:p w14:paraId="0A11010C" w14:textId="623B57FB" w:rsidR="00E15A5D" w:rsidRDefault="00E15A5D" w:rsidP="00E15A5D">
      <w:pPr>
        <w:pStyle w:val="Loendilik"/>
        <w:jc w:val="both"/>
      </w:pPr>
      <w:r>
        <w:t>Ringkonnakohtud on teise astme kohtud ning nad vaatavad apellatsiooni korras läbi esimese astme kohtu lahendeid.</w:t>
      </w:r>
    </w:p>
    <w:p w14:paraId="4AE8E956" w14:textId="4A841510" w:rsidR="00E15A5D" w:rsidRDefault="00E15A5D" w:rsidP="00E15A5D">
      <w:pPr>
        <w:pStyle w:val="Loendilik"/>
        <w:jc w:val="both"/>
      </w:pPr>
      <w:r>
        <w:t>Riigikohus on riigi kõrgeim kohus, kes vaatab kohtulahendeid läbi kassatsiooni korras. Riigikohus on ühtlasi põhiseadusliku järelevalve kohus.</w:t>
      </w:r>
    </w:p>
    <w:p w14:paraId="654D7DB1" w14:textId="481E7A6F" w:rsidR="00E15A5D" w:rsidRDefault="00E15A5D" w:rsidP="00E15A5D">
      <w:pPr>
        <w:pStyle w:val="Loendilik"/>
        <w:jc w:val="both"/>
      </w:pPr>
      <w:r>
        <w:t>Kohtukorralduse ja kohtumenetluse korra sätestab seadus.“</w:t>
      </w:r>
    </w:p>
    <w:p w14:paraId="7F88E0F4" w14:textId="77777777" w:rsidR="00070489" w:rsidRDefault="00070489" w:rsidP="00E15A5D">
      <w:pPr>
        <w:pStyle w:val="Loendilik"/>
        <w:jc w:val="both"/>
      </w:pPr>
    </w:p>
    <w:p w14:paraId="03434677" w14:textId="2ACB7FB1" w:rsidR="005B27A2" w:rsidRPr="00187A75" w:rsidRDefault="005B27A2" w:rsidP="00070489">
      <w:pPr>
        <w:pStyle w:val="Pealkiri1"/>
        <w:spacing w:before="0" w:after="160"/>
        <w:jc w:val="center"/>
        <w:rPr>
          <w:rFonts w:asciiTheme="minorHAnsi" w:hAnsiTheme="minorHAnsi"/>
          <w:b/>
          <w:bCs/>
          <w:color w:val="auto"/>
          <w:sz w:val="22"/>
          <w:szCs w:val="22"/>
        </w:rPr>
      </w:pPr>
      <w:bookmarkStart w:id="10" w:name="_Toc183355290"/>
      <w:bookmarkStart w:id="11" w:name="_Toc183355428"/>
      <w:bookmarkStart w:id="12" w:name="_Toc183355757"/>
      <w:bookmarkStart w:id="13" w:name="_Toc183436486"/>
      <w:r w:rsidRPr="00187A75">
        <w:rPr>
          <w:rFonts w:asciiTheme="minorHAnsi" w:hAnsiTheme="minorHAnsi"/>
          <w:b/>
          <w:bCs/>
          <w:color w:val="auto"/>
          <w:sz w:val="22"/>
          <w:szCs w:val="22"/>
        </w:rPr>
        <w:t>III</w:t>
      </w:r>
      <w:bookmarkStart w:id="14" w:name="_Toc183355291"/>
      <w:bookmarkEnd w:id="10"/>
      <w:r w:rsidR="00070489">
        <w:rPr>
          <w:rFonts w:asciiTheme="minorHAnsi" w:hAnsiTheme="minorHAnsi"/>
          <w:b/>
          <w:bCs/>
          <w:color w:val="auto"/>
          <w:sz w:val="22"/>
          <w:szCs w:val="22"/>
        </w:rPr>
        <w:t xml:space="preserve"> </w:t>
      </w:r>
      <w:r w:rsidR="0027077E" w:rsidRPr="00187A75">
        <w:rPr>
          <w:rFonts w:asciiTheme="minorHAnsi" w:hAnsiTheme="minorHAnsi"/>
          <w:b/>
          <w:bCs/>
          <w:color w:val="auto"/>
          <w:sz w:val="22"/>
          <w:szCs w:val="22"/>
        </w:rPr>
        <w:t>PS § 148</w:t>
      </w:r>
      <w:r w:rsidRPr="00187A75">
        <w:rPr>
          <w:rFonts w:asciiTheme="minorHAnsi" w:hAnsiTheme="minorHAnsi"/>
          <w:b/>
          <w:bCs/>
          <w:color w:val="auto"/>
          <w:sz w:val="22"/>
          <w:szCs w:val="22"/>
        </w:rPr>
        <w:t xml:space="preserve"> kujunemislugu</w:t>
      </w:r>
      <w:bookmarkEnd w:id="11"/>
      <w:bookmarkEnd w:id="12"/>
      <w:bookmarkEnd w:id="13"/>
      <w:bookmarkEnd w:id="14"/>
    </w:p>
    <w:p w14:paraId="10E1590F" w14:textId="2C5FF586" w:rsidR="004F445B" w:rsidRPr="00187A75" w:rsidRDefault="0096463B" w:rsidP="00070489">
      <w:pPr>
        <w:pStyle w:val="Pealkiri1"/>
        <w:spacing w:before="0" w:after="160"/>
        <w:rPr>
          <w:rFonts w:asciiTheme="minorHAnsi" w:hAnsiTheme="minorHAnsi"/>
          <w:b/>
          <w:bCs/>
          <w:sz w:val="22"/>
          <w:szCs w:val="22"/>
        </w:rPr>
      </w:pPr>
      <w:bookmarkStart w:id="15" w:name="_Toc183355292"/>
      <w:bookmarkStart w:id="16" w:name="_Toc183355429"/>
      <w:bookmarkStart w:id="17" w:name="_Toc183355758"/>
      <w:bookmarkStart w:id="18" w:name="_Toc183436487"/>
      <w:r w:rsidRPr="00187A75">
        <w:rPr>
          <w:rFonts w:asciiTheme="minorHAnsi" w:hAnsiTheme="minorHAnsi"/>
          <w:b/>
          <w:bCs/>
          <w:color w:val="auto"/>
          <w:sz w:val="22"/>
          <w:szCs w:val="22"/>
        </w:rPr>
        <w:t>Põhiseaduse Assamblee materjalid</w:t>
      </w:r>
      <w:bookmarkEnd w:id="15"/>
      <w:bookmarkEnd w:id="16"/>
      <w:bookmarkEnd w:id="17"/>
      <w:bookmarkEnd w:id="18"/>
    </w:p>
    <w:p w14:paraId="3ED63E84" w14:textId="72E4899D" w:rsidR="00E15A5D" w:rsidRDefault="00000730" w:rsidP="00EC1EA3">
      <w:pPr>
        <w:pStyle w:val="Loendilik"/>
        <w:numPr>
          <w:ilvl w:val="0"/>
          <w:numId w:val="3"/>
        </w:numPr>
        <w:jc w:val="both"/>
      </w:pPr>
      <w:r>
        <w:t>Põhiseaduse Assamblee stenogrammid ei ole viidatud normide sisustamisel</w:t>
      </w:r>
      <w:r w:rsidR="009F4176">
        <w:t xml:space="preserve"> ja mõtte avamisel</w:t>
      </w:r>
      <w:r>
        <w:t xml:space="preserve"> suureks abiks</w:t>
      </w:r>
      <w:r w:rsidR="009F4176">
        <w:t>, kuna need ei sisalda põhjendusi selle kohta, miks valiti just selline kohtusüsteemi mudel</w:t>
      </w:r>
      <w:r w:rsidR="00E15A5D">
        <w:t xml:space="preserve"> vastavate </w:t>
      </w:r>
      <w:r w:rsidR="00911501">
        <w:t xml:space="preserve">kohtuastmete </w:t>
      </w:r>
      <w:r w:rsidR="00E15A5D">
        <w:t>pädevustega</w:t>
      </w:r>
      <w:r w:rsidR="009F4176">
        <w:t>.</w:t>
      </w:r>
      <w:r>
        <w:t xml:space="preserve"> </w:t>
      </w:r>
      <w:r w:rsidR="009F4176">
        <w:t>Näiteks</w:t>
      </w:r>
      <w:r w:rsidR="00A144BA">
        <w:t xml:space="preserve"> on J. Rätsepa sõnavõtu kohaselt kajastud järgnev: „Kohtustruktuuri, õieti kohtusüsteemi osas toetame ikkagi seda, et esimese astme kohtutena oleksid meil maa- ja linnakohtud ning halduskohtud, ringkonnakohtud, riigikohtud. See on selge lakooniline süsteem, kusjuures formuleeritud on ka nende pädevus, niivõrd-kuivõrd see üldse formuleeritav on. Kohtutegevust hakkab kahtlematult reguleerima kohtuniku staatuse seadus ja veel enam protsessinormistik, mis praegu on projektidena töös. Vaidlus käib vaid selle üle, kas see on kriminaal- ja tsiviilprotsessi puhul ühine või tuleb nad eraldi läbi kirjutada. Igal juhul tahetakse võimalikult ulatuslikult lahti saada nendest negatiivsetest kogemustest, mis on nõukogudeaegse kohtuaparaadi tööst saadud.“</w:t>
      </w:r>
      <w:r w:rsidR="00A144BA">
        <w:rPr>
          <w:rStyle w:val="Allmrkuseviide"/>
        </w:rPr>
        <w:footnoteReference w:id="1"/>
      </w:r>
    </w:p>
    <w:p w14:paraId="5688721A" w14:textId="6064DBE4" w:rsidR="00000730" w:rsidRDefault="00911501" w:rsidP="00EC1EA3">
      <w:pPr>
        <w:pStyle w:val="Loendilik"/>
        <w:numPr>
          <w:ilvl w:val="0"/>
          <w:numId w:val="3"/>
        </w:numPr>
        <w:jc w:val="both"/>
      </w:pPr>
      <w:r>
        <w:lastRenderedPageBreak/>
        <w:t>Eespool v</w:t>
      </w:r>
      <w:r w:rsidR="008642B8">
        <w:t xml:space="preserve">iidatud sõnavõtt võimaldab järeldada, et </w:t>
      </w:r>
      <w:r w:rsidR="00E15A5D">
        <w:t xml:space="preserve">põhiseadusesse oli oluline sätestada </w:t>
      </w:r>
      <w:r>
        <w:t xml:space="preserve">lihtne </w:t>
      </w:r>
      <w:r w:rsidR="00E15A5D">
        <w:t xml:space="preserve">kohtusüsteemi ehk -struktuuri ülesehitus. Samuti oli oluline paika panna kohtuastmete pädevus. </w:t>
      </w:r>
      <w:r w:rsidR="00E81A34">
        <w:t>Mi</w:t>
      </w:r>
      <w:r w:rsidR="00E15A5D">
        <w:t xml:space="preserve">lliste argumentide ja </w:t>
      </w:r>
      <w:r w:rsidR="00E81A34">
        <w:t>kaalutlus</w:t>
      </w:r>
      <w:r w:rsidR="00E15A5D">
        <w:t>t</w:t>
      </w:r>
      <w:r w:rsidR="00E81A34">
        <w:t>e</w:t>
      </w:r>
      <w:r w:rsidR="00E15A5D">
        <w:t xml:space="preserve"> põhjal otsustati just sellise</w:t>
      </w:r>
      <w:r w:rsidR="00E81A34">
        <w:t xml:space="preserve"> kohtusüsteem</w:t>
      </w:r>
      <w:r w:rsidR="00E15A5D">
        <w:t>i ja -struktuuri ning pädevuste kasuks, siis</w:t>
      </w:r>
      <w:r w:rsidR="00E81A34">
        <w:t xml:space="preserve"> neid</w:t>
      </w:r>
      <w:r w:rsidR="00CF280F">
        <w:t xml:space="preserve"> põhjendusi</w:t>
      </w:r>
      <w:r w:rsidR="00E81A34">
        <w:t xml:space="preserve"> pole </w:t>
      </w:r>
      <w:r w:rsidR="0096463B">
        <w:t xml:space="preserve">rohkemal määral </w:t>
      </w:r>
      <w:r w:rsidR="00E81A34">
        <w:t>avatud.</w:t>
      </w:r>
    </w:p>
    <w:p w14:paraId="7B9A297E" w14:textId="77777777" w:rsidR="00070489" w:rsidRDefault="00070489" w:rsidP="00070489">
      <w:pPr>
        <w:pStyle w:val="Loendilik"/>
        <w:jc w:val="both"/>
      </w:pPr>
    </w:p>
    <w:p w14:paraId="7995FE4A" w14:textId="26A2BB5F" w:rsidR="0096463B" w:rsidRPr="00187A75" w:rsidRDefault="0096463B" w:rsidP="00187A75">
      <w:pPr>
        <w:pStyle w:val="Pealkiri1"/>
        <w:spacing w:before="0" w:after="160"/>
        <w:rPr>
          <w:rFonts w:asciiTheme="minorHAnsi" w:hAnsiTheme="minorHAnsi"/>
          <w:b/>
          <w:bCs/>
          <w:color w:val="auto"/>
          <w:sz w:val="22"/>
          <w:szCs w:val="22"/>
        </w:rPr>
      </w:pPr>
      <w:bookmarkStart w:id="19" w:name="_Toc183355293"/>
      <w:bookmarkStart w:id="20" w:name="_Toc183355430"/>
      <w:bookmarkStart w:id="21" w:name="_Toc183355759"/>
      <w:bookmarkStart w:id="22" w:name="_Toc183436488"/>
      <w:r w:rsidRPr="00187A75">
        <w:rPr>
          <w:rFonts w:asciiTheme="minorHAnsi" w:hAnsiTheme="minorHAnsi"/>
          <w:b/>
          <w:bCs/>
          <w:color w:val="auto"/>
          <w:sz w:val="22"/>
          <w:szCs w:val="22"/>
        </w:rPr>
        <w:t>Ülemnõukogu vastu võetud kohtute seadus</w:t>
      </w:r>
      <w:bookmarkEnd w:id="19"/>
      <w:bookmarkEnd w:id="20"/>
      <w:bookmarkEnd w:id="21"/>
      <w:bookmarkEnd w:id="22"/>
    </w:p>
    <w:p w14:paraId="3DC3489D" w14:textId="0E576FC6" w:rsidR="00A362E0" w:rsidRDefault="00EC1EA3" w:rsidP="00187A75">
      <w:pPr>
        <w:pStyle w:val="Loendilik"/>
        <w:numPr>
          <w:ilvl w:val="0"/>
          <w:numId w:val="3"/>
        </w:numPr>
        <w:jc w:val="both"/>
      </w:pPr>
      <w:r>
        <w:t xml:space="preserve">PS § 148 </w:t>
      </w:r>
      <w:r w:rsidR="00E81A34">
        <w:t>kujunemi</w:t>
      </w:r>
      <w:r w:rsidR="00911501">
        <w:t>slugu</w:t>
      </w:r>
      <w:r w:rsidR="0096463B">
        <w:t xml:space="preserve"> on</w:t>
      </w:r>
      <w:r w:rsidR="009F4176">
        <w:t xml:space="preserve"> tihedalt põimunud </w:t>
      </w:r>
      <w:r w:rsidR="008642B8">
        <w:t>Ülemnõukogu 23. oktoobril 1991. a-l vastu võetud kohtute seadus</w:t>
      </w:r>
      <w:r w:rsidR="00E81A34">
        <w:t>ega</w:t>
      </w:r>
      <w:r w:rsidR="006E0B43">
        <w:t>.</w:t>
      </w:r>
      <w:r w:rsidR="00911501">
        <w:rPr>
          <w:rStyle w:val="Allmrkuseviide"/>
        </w:rPr>
        <w:footnoteReference w:id="2"/>
      </w:r>
    </w:p>
    <w:p w14:paraId="7C8EB0F1" w14:textId="5577A3AB" w:rsidR="008642B8" w:rsidRDefault="006E0B43" w:rsidP="00EC1EA3">
      <w:pPr>
        <w:pStyle w:val="Loendilik"/>
        <w:numPr>
          <w:ilvl w:val="0"/>
          <w:numId w:val="3"/>
        </w:numPr>
        <w:jc w:val="both"/>
      </w:pPr>
      <w:r>
        <w:t>Kohtute seaduse</w:t>
      </w:r>
      <w:r w:rsidR="008642B8">
        <w:t xml:space="preserve"> § 1 lg 2</w:t>
      </w:r>
      <w:r w:rsidR="00EC1EA3">
        <w:t xml:space="preserve"> </w:t>
      </w:r>
      <w:r>
        <w:t>sätestas</w:t>
      </w:r>
      <w:r w:rsidR="00EC1EA3">
        <w:t xml:space="preserve"> järgmist: „</w:t>
      </w:r>
      <w:r w:rsidR="00EC1EA3" w:rsidRPr="00EC1EA3">
        <w:t>Õigust mõistavad esimeses astmes maa-, linna- ning halduskohtud, teises astmes ringkonnakohtud ja kõrgeimas astmes Eesti Vabariigi Riigikohus.</w:t>
      </w:r>
      <w:r w:rsidR="00EC1EA3">
        <w:t>“</w:t>
      </w:r>
      <w:r>
        <w:t xml:space="preserve"> </w:t>
      </w:r>
      <w:r w:rsidR="00A362E0">
        <w:t>Sõnastuslikult on PS § 148 sarnane kohtute seadusega.</w:t>
      </w:r>
    </w:p>
    <w:p w14:paraId="0B63940E" w14:textId="12E33307" w:rsidR="009E7CDE" w:rsidRDefault="00EC1EA3" w:rsidP="009E7CDE">
      <w:pPr>
        <w:pStyle w:val="Loendilik"/>
        <w:numPr>
          <w:ilvl w:val="0"/>
          <w:numId w:val="3"/>
        </w:numPr>
        <w:jc w:val="both"/>
      </w:pPr>
      <w:r>
        <w:t>Kohtute seaduse eelnõu seletuskirjas märgiti järgmist: „Projektide väljatöötamisel lähtuti Eesti Vabariigi 1938. a. „Kohtute seadustiku“ ideedest ning arvestati Eesti praegusaegset ühiskondlik-poliitilist ning riigiõiguslikku olukorda. [---] Projektid on koostatud ajal, mil Eestis puudub reaalselt toimiv põhiseadus. [---] Kohtute seaduse projektis fikseeritud õigusemõistmise printsiipide, kolmeastmelise kohtusüsteemi ja kohtute moodustamise korraga nõustumisel on võimalik juba seadusena kehtestatud põhimõtted üle kanda loodavasse põhiseadusesse. Kuigi selline ebatraditsiooniline, üksikaktide kaudu, põhiseaduse koostamine on mõnevõrra problemaatiline, tuleb nõustuda sellega, et Eestis toimiv õigusemõistmise süsteem vajab fundamentaalseid ümberkorraldusi. Kuna 1992.a. juunis lõppevad enamusel maa- ja linnakohtunikel volitused, pole mõeldav uue kohtunike koosseisu ametisse nimetamine seni</w:t>
      </w:r>
      <w:r w:rsidR="009E2283">
        <w:t xml:space="preserve"> </w:t>
      </w:r>
      <w:r>
        <w:t>kehtiva seadusandluse alusel.</w:t>
      </w:r>
      <w:r>
        <w:rPr>
          <w:rStyle w:val="Allmrkuseviide"/>
        </w:rPr>
        <w:footnoteReference w:id="3"/>
      </w:r>
      <w:r w:rsidR="007241E4">
        <w:t xml:space="preserve"> [---] Samas (§ 2) fikseeritakse kohtute süsteem ja põhinõue, et üksnes seadusandja (lg 3) on pädev moodustama uusi kohtuorganeid, mida pole sätestatud kohtute seaduses. [---] [O]</w:t>
      </w:r>
      <w:proofErr w:type="spellStart"/>
      <w:r w:rsidR="007241E4">
        <w:t>tsustati</w:t>
      </w:r>
      <w:proofErr w:type="spellEnd"/>
      <w:r w:rsidR="007241E4">
        <w:t xml:space="preserve"> 1938.a. Eesti Vabariigi „Kohtute seadustikus“ fikseeritud kolmeastmelise kohtusüsteemi kasuks, mis oma kaasajastatud vormis on sätestatud käesolevas eelnõus. Eelnõus sätestatud kohtusüsteem tagab põhimõtteliselt iga õigusküsimuse kolmekordse läbivaatamise võimaluse. </w:t>
      </w:r>
      <w:r w:rsidR="00902CEF">
        <w:t>[---] Ringkonnakohtute moodustamine on reeglipärane tagasipöördumine Eesti Vabariigi 1938.a. kohtukorralduse juurde. Ringkonnakohus, vaadates läbi maa- ja linnakohtute seadusjõutumata kohtulahendeid teise astmena apellatsiooni korras pea</w:t>
      </w:r>
      <w:r w:rsidR="00C06967">
        <w:t>b</w:t>
      </w:r>
      <w:r w:rsidR="00902CEF">
        <w:t xml:space="preserve"> muutuma põhiliseks esimese astme kohtute töö kvaliteedi </w:t>
      </w:r>
      <w:r w:rsidR="00902CEF">
        <w:lastRenderedPageBreak/>
        <w:t>kontrollorganiks ja kohtuvigade avastamise ning kõrvaldamise instantsiks. [---] Eestis oli 1938.a. kuus ringkonnakohut, mis tulenes ilmselt tollastest tingimustest. Kaasa</w:t>
      </w:r>
      <w:r w:rsidR="00316DA2">
        <w:t>j</w:t>
      </w:r>
      <w:r w:rsidR="00902CEF">
        <w:t xml:space="preserve">al tuleb lugeda otstarbekaks alates 1. </w:t>
      </w:r>
      <w:r w:rsidR="0015329E">
        <w:t>j</w:t>
      </w:r>
      <w:r w:rsidR="00902CEF">
        <w:t>uulist 1992.a. luua ringkonnakohtud Tallinnas ja Tartus ning vastavalt võimalustele peatselt ka Rakveres ja Viljandis.“</w:t>
      </w:r>
      <w:r w:rsidR="00332FDA">
        <w:rPr>
          <w:rStyle w:val="Allmrkuseviide"/>
        </w:rPr>
        <w:footnoteReference w:id="4"/>
      </w:r>
    </w:p>
    <w:p w14:paraId="18F57338" w14:textId="77777777" w:rsidR="00070489" w:rsidRDefault="00070489" w:rsidP="00070489">
      <w:pPr>
        <w:pStyle w:val="Loendilik"/>
        <w:jc w:val="both"/>
      </w:pPr>
    </w:p>
    <w:p w14:paraId="1B988E52" w14:textId="203B115B" w:rsidR="009E7CDE" w:rsidRPr="00187A75" w:rsidRDefault="009E7CDE" w:rsidP="00187A75">
      <w:pPr>
        <w:pStyle w:val="Pealkiri1"/>
        <w:spacing w:before="0" w:after="160"/>
        <w:rPr>
          <w:rFonts w:asciiTheme="minorHAnsi" w:hAnsiTheme="minorHAnsi"/>
          <w:b/>
          <w:bCs/>
          <w:color w:val="auto"/>
          <w:sz w:val="22"/>
          <w:szCs w:val="22"/>
        </w:rPr>
      </w:pPr>
      <w:bookmarkStart w:id="23" w:name="_Toc183355294"/>
      <w:bookmarkStart w:id="24" w:name="_Toc183355431"/>
      <w:bookmarkStart w:id="25" w:name="_Toc183355760"/>
      <w:bookmarkStart w:id="26" w:name="_Toc183436489"/>
      <w:r w:rsidRPr="00187A75">
        <w:rPr>
          <w:rFonts w:asciiTheme="minorHAnsi" w:hAnsiTheme="minorHAnsi"/>
          <w:b/>
          <w:bCs/>
          <w:color w:val="auto"/>
          <w:sz w:val="22"/>
          <w:szCs w:val="22"/>
        </w:rPr>
        <w:t>Riigihoidja 6. aprilli 1938. a dekreediga antud kohtute seadustik</w:t>
      </w:r>
      <w:bookmarkEnd w:id="23"/>
      <w:bookmarkEnd w:id="24"/>
      <w:bookmarkEnd w:id="25"/>
      <w:bookmarkEnd w:id="26"/>
    </w:p>
    <w:p w14:paraId="769ED3FE" w14:textId="53273226" w:rsidR="0099541B" w:rsidRDefault="001D3DDE" w:rsidP="00187A75">
      <w:pPr>
        <w:pStyle w:val="Loendilik"/>
        <w:numPr>
          <w:ilvl w:val="0"/>
          <w:numId w:val="3"/>
        </w:numPr>
        <w:jc w:val="both"/>
      </w:pPr>
      <w:r>
        <w:t>Kohtuastmeid ja r</w:t>
      </w:r>
      <w:r w:rsidR="00C06967">
        <w:t xml:space="preserve">ingkonnakohtuid puudutavas osas </w:t>
      </w:r>
      <w:r>
        <w:t>juhinduti</w:t>
      </w:r>
      <w:r w:rsidR="00C06967">
        <w:t xml:space="preserve"> </w:t>
      </w:r>
      <w:r w:rsidR="00032092">
        <w:t xml:space="preserve">1991. a </w:t>
      </w:r>
      <w:r w:rsidR="00C06967">
        <w:t>k</w:t>
      </w:r>
      <w:r w:rsidR="00A623C3">
        <w:t>ohtute seaduse koostamisel 1938.</w:t>
      </w:r>
      <w:r w:rsidR="00183A8E">
        <w:t xml:space="preserve"> </w:t>
      </w:r>
      <w:r w:rsidR="00A623C3">
        <w:t>a kohtute seadustiku</w:t>
      </w:r>
      <w:r w:rsidR="00C06967">
        <w:t>st</w:t>
      </w:r>
      <w:r w:rsidR="009E7CDE">
        <w:t xml:space="preserve"> (</w:t>
      </w:r>
      <w:proofErr w:type="spellStart"/>
      <w:r w:rsidR="009E7CDE">
        <w:t>KohtS</w:t>
      </w:r>
      <w:proofErr w:type="spellEnd"/>
      <w:r w:rsidR="009E7CDE">
        <w:t>)</w:t>
      </w:r>
      <w:r w:rsidR="00A623C3">
        <w:t>.</w:t>
      </w:r>
      <w:r w:rsidR="00D92231">
        <w:rPr>
          <w:rStyle w:val="Allmrkuseviide"/>
        </w:rPr>
        <w:footnoteReference w:id="5"/>
      </w:r>
    </w:p>
    <w:p w14:paraId="79E35639" w14:textId="77777777" w:rsidR="0099541B" w:rsidRDefault="00A623C3" w:rsidP="0099541B">
      <w:pPr>
        <w:pStyle w:val="Loendilik"/>
        <w:numPr>
          <w:ilvl w:val="0"/>
          <w:numId w:val="3"/>
        </w:numPr>
        <w:jc w:val="both"/>
      </w:pPr>
      <w:r>
        <w:t xml:space="preserve">Kohtute seadustiku andis Riigihoidja dekreedina 6. aprillil 1938. </w:t>
      </w:r>
    </w:p>
    <w:p w14:paraId="3DA50CDD" w14:textId="3B539533" w:rsidR="0099541B" w:rsidRDefault="0099541B" w:rsidP="0099541B">
      <w:pPr>
        <w:pStyle w:val="Loendilik"/>
        <w:numPr>
          <w:ilvl w:val="0"/>
          <w:numId w:val="3"/>
        </w:numPr>
        <w:jc w:val="both"/>
      </w:pPr>
      <w:proofErr w:type="spellStart"/>
      <w:r>
        <w:t>KohtS</w:t>
      </w:r>
      <w:proofErr w:type="spellEnd"/>
      <w:r>
        <w:t xml:space="preserve"> § 1 sätestas, et kohtuvõimu teostavad jaoskonnakohtud, kohtu-uurijad, ringkonnakohtud, Kohtukoda ja Riigikohus. </w:t>
      </w:r>
      <w:proofErr w:type="spellStart"/>
      <w:r>
        <w:t>KohtS</w:t>
      </w:r>
      <w:proofErr w:type="spellEnd"/>
      <w:r>
        <w:t xml:space="preserve"> § 2 kohaselt oli ringkonnakohus kollegiaalne organ. Ringkonnakohtute võimkond piirdus vastavate ringkondadega ning Kohtukoja ja Riigikohtu võimkond ulatus üle kogu Eesti Vabariigi (</w:t>
      </w:r>
      <w:proofErr w:type="spellStart"/>
      <w:r>
        <w:t>KohtS</w:t>
      </w:r>
      <w:proofErr w:type="spellEnd"/>
      <w:r>
        <w:t xml:space="preserve"> § 3). Ringkonnakohtud olid: Tallinna Ringkonnakohus (asukoht Tallinnas), Tartu Ringkonnakohus (asukoht Tartus), Rakvere Ringkonnakohus (asukoht Rakveres) ning Viljandi Ringkonnakohus (asukoht Viljandis) (</w:t>
      </w:r>
      <w:proofErr w:type="spellStart"/>
      <w:r>
        <w:t>KohtS</w:t>
      </w:r>
      <w:proofErr w:type="spellEnd"/>
      <w:r>
        <w:t xml:space="preserve"> § 13 lg 1). Ringkonnakohtute ringkonnad määras kohtuminister, ära kuulanud Riigikohtu üldkogu arvamuse (</w:t>
      </w:r>
      <w:proofErr w:type="spellStart"/>
      <w:r>
        <w:t>KohtS</w:t>
      </w:r>
      <w:proofErr w:type="spellEnd"/>
      <w:r>
        <w:t xml:space="preserve"> § 13 lg 2).</w:t>
      </w:r>
    </w:p>
    <w:p w14:paraId="36AB7AE9" w14:textId="412695AC" w:rsidR="0099541B" w:rsidRDefault="00A623C3" w:rsidP="00EC1EA3">
      <w:pPr>
        <w:pStyle w:val="Loendilik"/>
        <w:numPr>
          <w:ilvl w:val="0"/>
          <w:numId w:val="3"/>
        </w:numPr>
        <w:jc w:val="both"/>
      </w:pPr>
      <w:r>
        <w:t>Kohtute seadustiku</w:t>
      </w:r>
      <w:r w:rsidR="0099541B">
        <w:t xml:space="preserve"> seletuskirja kohaselt</w:t>
      </w:r>
      <w:r>
        <w:t xml:space="preserve"> jäeti kohtud püsima sellisel kujul, nagu nad olid selleks hetkeks välja kujunenu</w:t>
      </w:r>
      <w:r w:rsidR="00412E76">
        <w:t>d</w:t>
      </w:r>
      <w:r>
        <w:t xml:space="preserve">; kohtute konstruktsiooni muutmine polnud eelnõu eesmärgiks. </w:t>
      </w:r>
      <w:r w:rsidR="00F97798">
        <w:t>Eelnõu eesmärgiks oli kohtute ehituse ja sisemise töökorralduse kohta kehtivate seaduste süstemaatiline ümbertöötamine ja ühiseks koodeksiks liitmine.</w:t>
      </w:r>
      <w:r w:rsidR="00F97798">
        <w:rPr>
          <w:rStyle w:val="Allmrkuseviide"/>
        </w:rPr>
        <w:footnoteReference w:id="6"/>
      </w:r>
    </w:p>
    <w:p w14:paraId="18169BDC" w14:textId="1AC3AE78" w:rsidR="00A623C3" w:rsidRDefault="00F97798" w:rsidP="00EC1EA3">
      <w:pPr>
        <w:pStyle w:val="Loendilik"/>
        <w:numPr>
          <w:ilvl w:val="0"/>
          <w:numId w:val="3"/>
        </w:numPr>
        <w:jc w:val="both"/>
      </w:pPr>
      <w:r>
        <w:t>Kohtute seadustiku</w:t>
      </w:r>
      <w:r w:rsidR="0099541B">
        <w:t xml:space="preserve"> seletuskirjas märgiti, et seaduseelnõu loomiseni</w:t>
      </w:r>
      <w:r>
        <w:t xml:space="preserve"> kehtis Vene kohtuasut</w:t>
      </w:r>
      <w:r w:rsidR="00412E76">
        <w:t>i</w:t>
      </w:r>
      <w:r>
        <w:t xml:space="preserve">ste seadus (VSK XVI </w:t>
      </w:r>
      <w:proofErr w:type="spellStart"/>
      <w:r>
        <w:t>k.l.j</w:t>
      </w:r>
      <w:proofErr w:type="spellEnd"/>
      <w:r>
        <w:t xml:space="preserve">., 1914. a </w:t>
      </w:r>
      <w:proofErr w:type="spellStart"/>
      <w:r>
        <w:t>vlj</w:t>
      </w:r>
      <w:proofErr w:type="spellEnd"/>
      <w:r>
        <w:t xml:space="preserve">), mida oli hiljem kodifitseeritud ja </w:t>
      </w:r>
      <w:proofErr w:type="spellStart"/>
      <w:r>
        <w:t>üldnovellidega</w:t>
      </w:r>
      <w:proofErr w:type="spellEnd"/>
      <w:r>
        <w:t xml:space="preserve"> sedavõrd palju muudetud, et see oli osaliselt puudulikuks ja vastuoluliseks muutunud.</w:t>
      </w:r>
      <w:r>
        <w:rPr>
          <w:rStyle w:val="Allmrkuseviide"/>
        </w:rPr>
        <w:footnoteReference w:id="7"/>
      </w:r>
    </w:p>
    <w:p w14:paraId="1A3D556C" w14:textId="77777777" w:rsidR="00070489" w:rsidRDefault="00070489" w:rsidP="00070489">
      <w:pPr>
        <w:pStyle w:val="Loendilik"/>
        <w:jc w:val="both"/>
      </w:pPr>
    </w:p>
    <w:p w14:paraId="2EF394B9" w14:textId="61C1C4A3" w:rsidR="00382AD4" w:rsidRPr="00187A75" w:rsidRDefault="00382AD4" w:rsidP="00187A75">
      <w:pPr>
        <w:pStyle w:val="Pealkiri1"/>
        <w:spacing w:before="0" w:after="160"/>
        <w:rPr>
          <w:rFonts w:asciiTheme="minorHAnsi" w:hAnsiTheme="minorHAnsi"/>
          <w:b/>
          <w:bCs/>
          <w:color w:val="auto"/>
          <w:sz w:val="22"/>
          <w:szCs w:val="22"/>
        </w:rPr>
      </w:pPr>
      <w:bookmarkStart w:id="27" w:name="_Toc183355295"/>
      <w:bookmarkStart w:id="28" w:name="_Toc183355432"/>
      <w:bookmarkStart w:id="29" w:name="_Toc183355761"/>
      <w:bookmarkStart w:id="30" w:name="_Toc183436490"/>
      <w:r w:rsidRPr="00187A75">
        <w:rPr>
          <w:rFonts w:asciiTheme="minorHAnsi" w:hAnsiTheme="minorHAnsi"/>
          <w:b/>
          <w:bCs/>
          <w:color w:val="auto"/>
          <w:sz w:val="22"/>
          <w:szCs w:val="22"/>
        </w:rPr>
        <w:t xml:space="preserve">Keiser Aleksander II </w:t>
      </w:r>
      <w:r w:rsidR="00FE3030" w:rsidRPr="00187A75">
        <w:rPr>
          <w:rFonts w:asciiTheme="minorHAnsi" w:hAnsiTheme="minorHAnsi"/>
          <w:b/>
          <w:bCs/>
          <w:color w:val="auto"/>
          <w:sz w:val="22"/>
          <w:szCs w:val="22"/>
        </w:rPr>
        <w:t xml:space="preserve">1889. a </w:t>
      </w:r>
      <w:r w:rsidRPr="00187A75">
        <w:rPr>
          <w:rFonts w:asciiTheme="minorHAnsi" w:hAnsiTheme="minorHAnsi"/>
          <w:b/>
          <w:bCs/>
          <w:color w:val="auto"/>
          <w:sz w:val="22"/>
          <w:szCs w:val="22"/>
        </w:rPr>
        <w:t>kohtuseadused</w:t>
      </w:r>
      <w:r w:rsidR="00FE3030" w:rsidRPr="00187A75">
        <w:rPr>
          <w:rStyle w:val="Allmrkuseviide"/>
          <w:rFonts w:asciiTheme="minorHAnsi" w:hAnsiTheme="minorHAnsi"/>
          <w:b/>
          <w:bCs/>
          <w:color w:val="auto"/>
          <w:sz w:val="22"/>
          <w:szCs w:val="22"/>
        </w:rPr>
        <w:footnoteReference w:id="8"/>
      </w:r>
      <w:bookmarkEnd w:id="27"/>
      <w:bookmarkEnd w:id="28"/>
      <w:bookmarkEnd w:id="29"/>
      <w:bookmarkEnd w:id="30"/>
    </w:p>
    <w:p w14:paraId="7D48AA43" w14:textId="38BD4B55" w:rsidR="00382AD4" w:rsidRDefault="001D3DDE" w:rsidP="00EC1EA3">
      <w:pPr>
        <w:pStyle w:val="Loendilik"/>
        <w:numPr>
          <w:ilvl w:val="0"/>
          <w:numId w:val="3"/>
        </w:numPr>
        <w:jc w:val="both"/>
      </w:pPr>
      <w:r>
        <w:t xml:space="preserve">Ringkonnakohtuid puudutavas osas </w:t>
      </w:r>
      <w:r w:rsidR="003B64E1">
        <w:t xml:space="preserve">ei saanud </w:t>
      </w:r>
      <w:r w:rsidR="00183A8E">
        <w:t xml:space="preserve">1938. a </w:t>
      </w:r>
      <w:r w:rsidR="003B64E1">
        <w:t xml:space="preserve">kohtute seadustiku koostamisel jätta tähelepanuta </w:t>
      </w:r>
      <w:proofErr w:type="spellStart"/>
      <w:r w:rsidR="003B64E1">
        <w:t>tsaariagset</w:t>
      </w:r>
      <w:proofErr w:type="spellEnd"/>
      <w:r w:rsidR="003B64E1">
        <w:t xml:space="preserve"> </w:t>
      </w:r>
      <w:r w:rsidR="00FE3030">
        <w:t>1889. a kohtuseadus</w:t>
      </w:r>
      <w:r w:rsidR="00183A8E">
        <w:t>eid</w:t>
      </w:r>
      <w:r w:rsidR="003B64E1">
        <w:t xml:space="preserve">. Kohtuid puudutavad </w:t>
      </w:r>
      <w:r w:rsidR="00183A8E">
        <w:t xml:space="preserve">mõned </w:t>
      </w:r>
      <w:r w:rsidR="003B64E1">
        <w:t>oskussõnad, mida Eesti Vabariigi esimesel perioodil kasutati, pärinesid juba tsaariajast.</w:t>
      </w:r>
      <w:r w:rsidR="003B64E1">
        <w:rPr>
          <w:rStyle w:val="Allmrkuseviide"/>
        </w:rPr>
        <w:footnoteReference w:id="9"/>
      </w:r>
      <w:r w:rsidR="00FE3030">
        <w:t xml:space="preserve"> </w:t>
      </w:r>
      <w:r w:rsidR="00640EE1">
        <w:t>Näiteks 1889. a kohtuseadus</w:t>
      </w:r>
      <w:r w:rsidR="004406C2">
        <w:t>t</w:t>
      </w:r>
      <w:r w:rsidR="00640EE1">
        <w:t xml:space="preserve">e </w:t>
      </w:r>
      <w:r w:rsidR="00FE3030">
        <w:t xml:space="preserve">§ 1 sätestas, et kohtulik võimus on: Rahukohtumõistjatel, </w:t>
      </w:r>
      <w:r w:rsidR="00FE3030">
        <w:lastRenderedPageBreak/>
        <w:t xml:space="preserve">Rahukohtumõistjate Kogudel; </w:t>
      </w:r>
      <w:proofErr w:type="spellStart"/>
      <w:r w:rsidR="00FE3030">
        <w:t>Ringkonna-Kohtutel</w:t>
      </w:r>
      <w:proofErr w:type="spellEnd"/>
      <w:r w:rsidR="00FE3030">
        <w:t xml:space="preserve">, Kohtu-Palatitel ja </w:t>
      </w:r>
      <w:proofErr w:type="spellStart"/>
      <w:r w:rsidR="00FE3030">
        <w:t>Walitseval</w:t>
      </w:r>
      <w:proofErr w:type="spellEnd"/>
      <w:r w:rsidR="00FE3030">
        <w:t>-Senatil, kui ülemal tühjaks-</w:t>
      </w:r>
      <w:proofErr w:type="spellStart"/>
      <w:r w:rsidR="00FE3030">
        <w:t>tegewal</w:t>
      </w:r>
      <w:proofErr w:type="spellEnd"/>
      <w:r w:rsidR="00FE3030">
        <w:t xml:space="preserve"> kohtul. 1889. a kohtuseaduste § 77 kohaselt asutati </w:t>
      </w:r>
      <w:proofErr w:type="spellStart"/>
      <w:r w:rsidR="00FE3030">
        <w:t>Ringkonna-Kohus</w:t>
      </w:r>
      <w:proofErr w:type="spellEnd"/>
      <w:r w:rsidR="00FE3030">
        <w:t xml:space="preserve"> mitme kreisi peale ja on eesistujast ja liikmetest kokku pandud. </w:t>
      </w:r>
      <w:r w:rsidR="00A15E4B">
        <w:t>1889. a kohtuseadus</w:t>
      </w:r>
      <w:r w:rsidR="00183A8E">
        <w:t>t</w:t>
      </w:r>
      <w:r w:rsidR="00A15E4B">
        <w:t xml:space="preserve">e § 80 kohaselt määrati </w:t>
      </w:r>
      <w:proofErr w:type="spellStart"/>
      <w:r w:rsidR="00A15E4B">
        <w:t>Ringkonna-Kohtute</w:t>
      </w:r>
      <w:proofErr w:type="spellEnd"/>
      <w:r w:rsidR="00A15E4B">
        <w:t xml:space="preserve"> arv ja ringkondade suurus „iseäraliste arukirjade läbi ära, aga </w:t>
      </w:r>
      <w:proofErr w:type="spellStart"/>
      <w:r w:rsidR="00A15E4B">
        <w:t>Ringkonna-Kohtu</w:t>
      </w:r>
      <w:proofErr w:type="spellEnd"/>
      <w:r w:rsidR="00A15E4B">
        <w:t xml:space="preserve"> liikmete [---] aru [arv] on ametikirjades ära nimetatud.“</w:t>
      </w:r>
    </w:p>
    <w:p w14:paraId="0FFF5AB0" w14:textId="2FC6EB96" w:rsidR="0099541B" w:rsidRDefault="005A62AC" w:rsidP="00EC1EA3">
      <w:pPr>
        <w:pStyle w:val="Loendilik"/>
        <w:numPr>
          <w:ilvl w:val="0"/>
          <w:numId w:val="3"/>
        </w:numPr>
        <w:jc w:val="both"/>
      </w:pPr>
      <w:r>
        <w:t>Vene kohtuasutiste seadus nägi Eestimaa kubermangus ette Tallinna Ringkonnakohtu (</w:t>
      </w:r>
      <w:proofErr w:type="spellStart"/>
      <w:r w:rsidRPr="005A62AC">
        <w:t>Таллиннский</w:t>
      </w:r>
      <w:proofErr w:type="spellEnd"/>
      <w:r>
        <w:t xml:space="preserve"> </w:t>
      </w:r>
      <w:proofErr w:type="spellStart"/>
      <w:r w:rsidRPr="003856BF">
        <w:t>окружной</w:t>
      </w:r>
      <w:proofErr w:type="spellEnd"/>
      <w:r w:rsidRPr="003856BF">
        <w:t xml:space="preserve"> </w:t>
      </w:r>
      <w:proofErr w:type="spellStart"/>
      <w:r w:rsidRPr="003856BF">
        <w:t>суд</w:t>
      </w:r>
      <w:proofErr w:type="spellEnd"/>
      <w:r>
        <w:t>) ja Liivimaa kubermangus ette Riia Ringkonnakohtu (</w:t>
      </w:r>
      <w:proofErr w:type="spellStart"/>
      <w:r w:rsidRPr="003856BF">
        <w:t>Рижский</w:t>
      </w:r>
      <w:proofErr w:type="spellEnd"/>
      <w:r w:rsidRPr="003856BF">
        <w:t xml:space="preserve"> </w:t>
      </w:r>
      <w:proofErr w:type="spellStart"/>
      <w:r w:rsidRPr="003856BF">
        <w:t>окружной</w:t>
      </w:r>
      <w:proofErr w:type="spellEnd"/>
      <w:r w:rsidRPr="003856BF">
        <w:t xml:space="preserve"> </w:t>
      </w:r>
      <w:proofErr w:type="spellStart"/>
      <w:r w:rsidRPr="003856BF">
        <w:t>суд</w:t>
      </w:r>
      <w:proofErr w:type="spellEnd"/>
      <w:r>
        <w:t>).</w:t>
      </w:r>
    </w:p>
    <w:p w14:paraId="5EADCB50" w14:textId="217D6382" w:rsidR="00AE2923" w:rsidRDefault="00860685" w:rsidP="00070489">
      <w:pPr>
        <w:pStyle w:val="Loendilik"/>
        <w:numPr>
          <w:ilvl w:val="0"/>
          <w:numId w:val="3"/>
        </w:numPr>
        <w:jc w:val="both"/>
      </w:pPr>
      <w:r>
        <w:t xml:space="preserve">Eesti Ajutise Valitsuse 18. novembri 1918. a otsusega </w:t>
      </w:r>
      <w:r w:rsidR="003D570C">
        <w:t>„Ajutiste kohtute sisseseadmise üle“ kutsuti ellu järgmised kohtuasutused: rahukohtud, rahukogud, ringkonnakohus ning Riigikohus</w:t>
      </w:r>
      <w:r w:rsidR="00A969D8">
        <w:t>; kaotati ära vallakohtud ja ülemtalurahvakohtud</w:t>
      </w:r>
      <w:r w:rsidR="003D570C">
        <w:t>.</w:t>
      </w:r>
      <w:r w:rsidR="003D570C">
        <w:rPr>
          <w:rStyle w:val="Allmrkuseviide"/>
        </w:rPr>
        <w:footnoteReference w:id="10"/>
      </w:r>
      <w:r w:rsidR="00A969D8">
        <w:t xml:space="preserve"> </w:t>
      </w:r>
      <w:r w:rsidR="003856BF">
        <w:t>Kohtuministri 2. detsembri 1918. a määruse alusel (RT 1918, 4) alustasid ajutised kohtud tegevust nendes Eesti ja Põhja-Liivimaa piirides, mis olid seaduste alusel ühendatud.</w:t>
      </w:r>
      <w:r w:rsidR="003856BF">
        <w:rPr>
          <w:rStyle w:val="Allmrkuseviide"/>
        </w:rPr>
        <w:footnoteReference w:id="11"/>
      </w:r>
      <w:r w:rsidR="005A62AC">
        <w:t xml:space="preserve"> Asutavas Kogus algatati 11. märtsil 1920 eelnõu, muutmaks Ajutiste kohtute sisseseadmise seaduse § 1 punkti m selliselt, et Tallinna Ringkonnakohus nimetatakse ümber Kohtukojaks.</w:t>
      </w:r>
      <w:r w:rsidR="005A62AC">
        <w:rPr>
          <w:rStyle w:val="Allmrkuseviide"/>
        </w:rPr>
        <w:footnoteReference w:id="12"/>
      </w:r>
    </w:p>
    <w:p w14:paraId="1F5BEEB7" w14:textId="77777777" w:rsidR="00070489" w:rsidRDefault="00070489" w:rsidP="00070489">
      <w:pPr>
        <w:pStyle w:val="Loendilik"/>
        <w:jc w:val="both"/>
      </w:pPr>
    </w:p>
    <w:p w14:paraId="40CA885F" w14:textId="555F0AFA" w:rsidR="00AE2923" w:rsidRPr="00187A75" w:rsidRDefault="005B27A2" w:rsidP="00187A75">
      <w:pPr>
        <w:pStyle w:val="Pealkiri1"/>
        <w:spacing w:before="0" w:after="160"/>
        <w:rPr>
          <w:rFonts w:asciiTheme="minorHAnsi" w:hAnsiTheme="minorHAnsi"/>
          <w:b/>
          <w:bCs/>
          <w:color w:val="auto"/>
          <w:sz w:val="22"/>
          <w:szCs w:val="22"/>
        </w:rPr>
      </w:pPr>
      <w:bookmarkStart w:id="31" w:name="_Toc183355296"/>
      <w:bookmarkStart w:id="32" w:name="_Toc183355433"/>
      <w:bookmarkStart w:id="33" w:name="_Toc183355762"/>
      <w:bookmarkStart w:id="34" w:name="_Toc183436491"/>
      <w:r w:rsidRPr="00187A75">
        <w:rPr>
          <w:rFonts w:asciiTheme="minorHAnsi" w:hAnsiTheme="minorHAnsi"/>
          <w:b/>
          <w:bCs/>
          <w:color w:val="auto"/>
          <w:sz w:val="22"/>
          <w:szCs w:val="22"/>
        </w:rPr>
        <w:t xml:space="preserve">Järeldused </w:t>
      </w:r>
      <w:r w:rsidR="004406C2" w:rsidRPr="00187A75">
        <w:rPr>
          <w:rFonts w:asciiTheme="minorHAnsi" w:hAnsiTheme="minorHAnsi"/>
          <w:b/>
          <w:bCs/>
          <w:color w:val="auto"/>
          <w:sz w:val="22"/>
          <w:szCs w:val="22"/>
        </w:rPr>
        <w:t>PS § 148</w:t>
      </w:r>
      <w:r w:rsidRPr="00187A75">
        <w:rPr>
          <w:rFonts w:asciiTheme="minorHAnsi" w:hAnsiTheme="minorHAnsi"/>
          <w:b/>
          <w:bCs/>
          <w:color w:val="auto"/>
          <w:sz w:val="22"/>
          <w:szCs w:val="22"/>
        </w:rPr>
        <w:t xml:space="preserve"> kujunemisloo aluseks olnud materjalide alusel</w:t>
      </w:r>
      <w:r w:rsidR="005212AE" w:rsidRPr="00187A75">
        <w:rPr>
          <w:rFonts w:asciiTheme="minorHAnsi" w:hAnsiTheme="minorHAnsi"/>
          <w:b/>
          <w:bCs/>
          <w:color w:val="auto"/>
          <w:sz w:val="22"/>
          <w:szCs w:val="22"/>
        </w:rPr>
        <w:t xml:space="preserve"> (nn geneetiline ja ajalooline argument)</w:t>
      </w:r>
      <w:r w:rsidR="007C28F1" w:rsidRPr="00187A75">
        <w:rPr>
          <w:rStyle w:val="Allmrkuseviide"/>
          <w:rFonts w:asciiTheme="minorHAnsi" w:hAnsiTheme="minorHAnsi"/>
          <w:b/>
          <w:bCs/>
          <w:color w:val="auto"/>
          <w:sz w:val="22"/>
          <w:szCs w:val="22"/>
        </w:rPr>
        <w:footnoteReference w:id="13"/>
      </w:r>
      <w:bookmarkEnd w:id="31"/>
      <w:bookmarkEnd w:id="32"/>
      <w:bookmarkEnd w:id="33"/>
      <w:bookmarkEnd w:id="34"/>
    </w:p>
    <w:p w14:paraId="28E6D863" w14:textId="68035590" w:rsidR="00782EE0" w:rsidRDefault="00671F90" w:rsidP="00782EE0">
      <w:pPr>
        <w:pStyle w:val="Loendilik"/>
        <w:numPr>
          <w:ilvl w:val="0"/>
          <w:numId w:val="3"/>
        </w:numPr>
        <w:jc w:val="both"/>
      </w:pPr>
      <w:r>
        <w:t xml:space="preserve">Eelnevate dokumentide alusel </w:t>
      </w:r>
      <w:r w:rsidR="005B27A2">
        <w:t xml:space="preserve">võib </w:t>
      </w:r>
      <w:r>
        <w:t>teha järgmised järeldused:</w:t>
      </w:r>
    </w:p>
    <w:p w14:paraId="128BDC42" w14:textId="5E230D95" w:rsidR="00782EE0" w:rsidRDefault="00782EE0" w:rsidP="00782EE0">
      <w:pPr>
        <w:pStyle w:val="Loendilik"/>
        <w:numPr>
          <w:ilvl w:val="0"/>
          <w:numId w:val="12"/>
        </w:numPr>
        <w:jc w:val="both"/>
      </w:pPr>
      <w:r>
        <w:t>Põhiseaduse Assamblee materjalid ei luba järeldada, et PS §-s 148 kajastatud kohtusüsteemi osas oleks põhjalikult kaalutud erinevate valikute vahel ja et peetud oleks põhjalikke vaidlusi erinevate kohtusüsteemi osiste osas. Sisuline analüüs ja valikud tehti paljuski kohtute seaduse eelnõu koostades.</w:t>
      </w:r>
    </w:p>
    <w:p w14:paraId="1A8D9092" w14:textId="3B383561" w:rsidR="00782EE0" w:rsidRDefault="00782EE0" w:rsidP="00782EE0">
      <w:pPr>
        <w:pStyle w:val="Loendilik"/>
        <w:numPr>
          <w:ilvl w:val="0"/>
          <w:numId w:val="12"/>
        </w:numPr>
        <w:jc w:val="both"/>
      </w:pPr>
      <w:r>
        <w:t>PS § 148 saamislool omab märkimisväärset tähendust Ülemnõukogu vastu võetud kohtute seadus.</w:t>
      </w:r>
    </w:p>
    <w:p w14:paraId="43EFDFAF" w14:textId="77777777" w:rsidR="00782EE0" w:rsidRDefault="00782EE0" w:rsidP="00782EE0">
      <w:pPr>
        <w:pStyle w:val="Loendilik"/>
        <w:numPr>
          <w:ilvl w:val="0"/>
          <w:numId w:val="12"/>
        </w:numPr>
        <w:jc w:val="both"/>
      </w:pPr>
      <w:r>
        <w:t>Kohtute seaduse § 1 lg 2 sätestas kohtusüsteemi ülesehituse. Kohtusüsteem oli kolmeastmeline, millest esimesse kohtuastmesse kuulusid maa- ja linnakohtud ning halduskohtud, teise ehk apellatsiooniastmesse ringkonnakohtud ning kõrgemaks astmeks oli Riigikohus.</w:t>
      </w:r>
    </w:p>
    <w:p w14:paraId="646505F7" w14:textId="7514CC37" w:rsidR="00782EE0" w:rsidRDefault="00782EE0" w:rsidP="00782EE0">
      <w:pPr>
        <w:pStyle w:val="Loendilik"/>
        <w:numPr>
          <w:ilvl w:val="0"/>
          <w:numId w:val="12"/>
        </w:numPr>
        <w:jc w:val="both"/>
      </w:pPr>
      <w:r w:rsidRPr="00D5729F">
        <w:t>Kohtute seaduses kohtusüsteemi puudutavas osa lähtuti kahest alusest: a) maa- ja linnakohtute sätestamisel</w:t>
      </w:r>
      <w:r>
        <w:t xml:space="preserve"> mängis olulist rolli selleks ajaks välja kujunenud kohtusüsteem, mida kirjeldati normis</w:t>
      </w:r>
      <w:r w:rsidR="00B829DD">
        <w:t>,</w:t>
      </w:r>
      <w:r w:rsidRPr="00D5729F">
        <w:t xml:space="preserve"> ning b) ringkonnakohtute kui apellatsioonikohtute </w:t>
      </w:r>
      <w:r>
        <w:t>eelnõusse märkimisel</w:t>
      </w:r>
      <w:r w:rsidRPr="00D5729F">
        <w:t xml:space="preserve"> juhinduti 1938. a kohtute seadustikust. </w:t>
      </w:r>
      <w:r>
        <w:t xml:space="preserve">Kohtute seaduse eelnõu koostamisel lähtuti maa- ja linnakohtute seadusesse sätestamisel 1991. a-ks Eestis olemas olnud lahendusest, kus igas 15 maakonnas oli eraldi maakohus ning kuues linnas eraldi linnakohus. Tegemist oli endiste rajooni ja </w:t>
      </w:r>
      <w:r>
        <w:lastRenderedPageBreak/>
        <w:t>linna rahvakohtutega.</w:t>
      </w:r>
      <w:r>
        <w:rPr>
          <w:rStyle w:val="Allmrkuseviide"/>
        </w:rPr>
        <w:footnoteReference w:id="14"/>
      </w:r>
      <w:r>
        <w:t xml:space="preserve"> Kohtute asukohad kattusid omaaegse Eesti NSV haldusterritoriaalse jaotusega, kus igas rajoonis ja vabariiklikus linnas oli kohus. Selle kaudu väljendus õigusemõistmise </w:t>
      </w:r>
      <w:r w:rsidRPr="00C8382A">
        <w:rPr>
          <w:b/>
          <w:bCs/>
        </w:rPr>
        <w:t>territoriaalse läheduse põhimõte</w:t>
      </w:r>
      <w:r>
        <w:t xml:space="preserve">. </w:t>
      </w:r>
      <w:r w:rsidRPr="00D5729F">
        <w:t>Ühtegi sisulist põhjendust selle kohta eraldi ei esitatud, miks tuli kohtute seaduses eristada maakohtuid linnakohtutest. Näiteks, et linnas oleks õigusemõistmise kättesaadavuse ja õigusvaidluste iseloom teistsuguse tähendusega kui väljaspool linnu. Pigem oli omaaegse kohtute asukoha kujunemisel territoriaalse läheduse põhimõte, s.t, et kohus teenindas mingi osa territooriumi elanikke. Viidatud kuues vabariiklikus linnas oli elanikke sedavõrd palju, et luua sinna kohus, mida võis siis nimetada linna rajoonikohtuks.</w:t>
      </w:r>
    </w:p>
    <w:p w14:paraId="12A2BE88" w14:textId="718CB9C1" w:rsidR="00782EE0" w:rsidRDefault="00782EE0" w:rsidP="00782EE0">
      <w:pPr>
        <w:pStyle w:val="Loendilik"/>
        <w:numPr>
          <w:ilvl w:val="0"/>
          <w:numId w:val="12"/>
        </w:numPr>
        <w:jc w:val="both"/>
      </w:pPr>
      <w:r>
        <w:t xml:space="preserve">Kohtute seaduses ringkonnakohtute sätestamine oli tingitud sellest, et soov oli luua apellatsiooniaste lähtuvalt 1938. a kohtute seadustikus pakutud lahendusest </w:t>
      </w:r>
      <w:r w:rsidR="00B829DD">
        <w:t xml:space="preserve">lähtuvalt </w:t>
      </w:r>
      <w:r>
        <w:t xml:space="preserve">(tõenäoliselt </w:t>
      </w:r>
      <w:r w:rsidR="00F21529">
        <w:t xml:space="preserve">omas tähendust </w:t>
      </w:r>
      <w:r>
        <w:t>õigusliku järjepidevuse kaalutlus).</w:t>
      </w:r>
    </w:p>
    <w:p w14:paraId="08742D2B" w14:textId="77777777" w:rsidR="00782EE0" w:rsidRDefault="00782EE0" w:rsidP="00782EE0">
      <w:pPr>
        <w:pStyle w:val="Loendilik"/>
        <w:numPr>
          <w:ilvl w:val="0"/>
          <w:numId w:val="12"/>
        </w:numPr>
        <w:jc w:val="both"/>
      </w:pPr>
      <w:r>
        <w:t>1938. a kohtute seadustikus olid konkreetsete organitena ette nähtud Kohtukoda ja Riigikohus. Samuti olid 1938. a kohtute seadustikus sätestatud konkreetsed ringkonnakohtud: Tallinna Ringkonnakohus, Tartu Ringkonnakohus, Rakvere Ringkonnakohus ja Viljandi Ringkonnakohus. Ringkonnakohtute ringkonnad ehk nende võimkond tuli määrata kohtuministril.</w:t>
      </w:r>
    </w:p>
    <w:p w14:paraId="6BF58237" w14:textId="77777777" w:rsidR="00782EE0" w:rsidRDefault="00782EE0" w:rsidP="00782EE0">
      <w:pPr>
        <w:pStyle w:val="Loendilik"/>
        <w:numPr>
          <w:ilvl w:val="0"/>
          <w:numId w:val="12"/>
        </w:numPr>
        <w:jc w:val="both"/>
      </w:pPr>
      <w:r>
        <w:t>Oskussõna ringkonnakohus pärineb juba tsaariajast ja on üle kandunud nii Eesti Vabariigi esimesse kui ka taasiseseisvumisjärgsesse perioodi.</w:t>
      </w:r>
    </w:p>
    <w:p w14:paraId="44916FA4" w14:textId="57C8A8A8" w:rsidR="00782EE0" w:rsidRDefault="00782EE0" w:rsidP="00782EE0">
      <w:pPr>
        <w:pStyle w:val="Loendilik"/>
        <w:numPr>
          <w:ilvl w:val="0"/>
          <w:numId w:val="12"/>
        </w:numPr>
        <w:jc w:val="both"/>
      </w:pPr>
      <w:r>
        <w:t xml:space="preserve">Nii 1889. a kohtuseaduste, 1938. a kohtute seadustiku kui ka 1991. a kohtute seaduse sõnastuse ja mõtte kohaselt sai ringkonnakohtu võimkond piirduda üksnes riigi mingi konkreetse piirkonnaga (nt kreiskonna või ringkonnaga), millele viitab ka sõna „ringkond“ ise. Ringkonnakohtu võimkond ei ulatunud üle kogu riigi. Sellest tulenevalt tuli ringkonnakohtuid luua alati rohkem kui üks. Näiteks tsaariajal oli Eestimaa kubermangus Tallinna </w:t>
      </w:r>
      <w:r w:rsidR="00F21529">
        <w:t>ri</w:t>
      </w:r>
      <w:r>
        <w:t xml:space="preserve">ngkonnakohus ja Liivimaa kubermangus Riia </w:t>
      </w:r>
      <w:r w:rsidR="00F21529">
        <w:t>ri</w:t>
      </w:r>
      <w:r>
        <w:t>ngkonnakohus. Eesti Vabariigi ajal Tallinna, Tartu, Rakvere ja Viljandi Ringkonnakohtud. Selles, et ringkonnakohus teenindas ainult ühte osa riigi territooriumist, tagamaks juurdepääs edasikaebevõimalusele, võib näha territoriaalse läheduse põhimõttest lähtumist.</w:t>
      </w:r>
    </w:p>
    <w:p w14:paraId="1A74C391" w14:textId="09840400" w:rsidR="00782EE0" w:rsidRDefault="00782EE0" w:rsidP="00782EE0">
      <w:pPr>
        <w:pStyle w:val="Loendilik"/>
        <w:numPr>
          <w:ilvl w:val="0"/>
          <w:numId w:val="12"/>
        </w:numPr>
        <w:jc w:val="both"/>
      </w:pPr>
      <w:r w:rsidRPr="001D12D2">
        <w:t>1889. a kohtuseadus</w:t>
      </w:r>
      <w:r>
        <w:t>ed</w:t>
      </w:r>
      <w:r w:rsidRPr="001D12D2">
        <w:t xml:space="preserve">, </w:t>
      </w:r>
      <w:r>
        <w:t xml:space="preserve">1938. a </w:t>
      </w:r>
      <w:r w:rsidRPr="001D12D2">
        <w:t xml:space="preserve">kohtute seadustik ja </w:t>
      </w:r>
      <w:r>
        <w:t xml:space="preserve">1991. a </w:t>
      </w:r>
      <w:r w:rsidRPr="001D12D2">
        <w:t xml:space="preserve">kohtute seadus sätestasid kohtute </w:t>
      </w:r>
      <w:r w:rsidRPr="00782EE0">
        <w:rPr>
          <w:b/>
          <w:bCs/>
        </w:rPr>
        <w:t>astmelise pädevuse</w:t>
      </w:r>
      <w:r w:rsidRPr="001D12D2">
        <w:t>, s.t, millise kohtuastme organ o</w:t>
      </w:r>
      <w:r>
        <w:t>li</w:t>
      </w:r>
      <w:r w:rsidRPr="001D12D2">
        <w:t xml:space="preserve"> õigustatud ja kohustatud asja lahendama ning milliseid õigusi ja volitusi ta toh</w:t>
      </w:r>
      <w:r>
        <w:t>t</w:t>
      </w:r>
      <w:r w:rsidRPr="001D12D2">
        <w:t>i</w:t>
      </w:r>
      <w:r>
        <w:t>s</w:t>
      </w:r>
      <w:r w:rsidRPr="001D12D2">
        <w:t xml:space="preserve"> selle raames kasutada. Kohtusüsteemi puudutavad normid reguleeri</w:t>
      </w:r>
      <w:r>
        <w:t>sid</w:t>
      </w:r>
      <w:r w:rsidRPr="001D12D2">
        <w:t xml:space="preserve"> ka kohtuastme </w:t>
      </w:r>
      <w:r w:rsidRPr="00782EE0">
        <w:rPr>
          <w:b/>
          <w:bCs/>
        </w:rPr>
        <w:t>territoriaalset pädevust</w:t>
      </w:r>
      <w:r w:rsidRPr="001D12D2">
        <w:t xml:space="preserve">, s.t, et milline kohtuaste omab millisel territooriumil või alal õigust kohtuvõimu teostada. Üleriigiline pädevus kuulus ainult viimasele kohtuastmele. </w:t>
      </w:r>
      <w:r>
        <w:t>Esimese kohtuastme ja a</w:t>
      </w:r>
      <w:r w:rsidRPr="001D12D2">
        <w:t>pellatsioonikohtu</w:t>
      </w:r>
      <w:r>
        <w:t xml:space="preserve"> astme</w:t>
      </w:r>
      <w:r w:rsidRPr="001D12D2">
        <w:t xml:space="preserve"> territoriaalne pädevus ei hõlma</w:t>
      </w:r>
      <w:r>
        <w:t>nud</w:t>
      </w:r>
      <w:r w:rsidRPr="001D12D2">
        <w:t xml:space="preserve"> riigi kogu territooriumi.</w:t>
      </w:r>
    </w:p>
    <w:p w14:paraId="0C7F551D" w14:textId="533E65DC" w:rsidR="00782EE0" w:rsidRPr="00B66D54" w:rsidRDefault="00782EE0" w:rsidP="00782EE0">
      <w:pPr>
        <w:pStyle w:val="Loendilik"/>
        <w:numPr>
          <w:ilvl w:val="0"/>
          <w:numId w:val="12"/>
        </w:numPr>
        <w:jc w:val="both"/>
      </w:pPr>
      <w:r w:rsidRPr="00B66D54">
        <w:t>Nii 1889. a kohtuseadus</w:t>
      </w:r>
      <w:r>
        <w:t>tes</w:t>
      </w:r>
      <w:r w:rsidRPr="00B66D54">
        <w:t>, 1938. a kohtute seadustiku</w:t>
      </w:r>
      <w:r>
        <w:t>s</w:t>
      </w:r>
      <w:r w:rsidRPr="00B66D54">
        <w:t xml:space="preserve"> ja </w:t>
      </w:r>
      <w:r>
        <w:t xml:space="preserve">1991. a </w:t>
      </w:r>
      <w:r w:rsidRPr="00B66D54">
        <w:t xml:space="preserve">kohtute seaduses lähtuti üldreeglina nn </w:t>
      </w:r>
      <w:r w:rsidRPr="00B66D54">
        <w:rPr>
          <w:b/>
          <w:bCs/>
        </w:rPr>
        <w:t>püramiidskeemist</w:t>
      </w:r>
      <w:r w:rsidRPr="00B66D54">
        <w:t>, kus püramiidi madalamal astmel oli rohkem kohtuid ja mida kõrgemale tõusti, siis seda vähemaks kohtuorganeid jäi, tipnedes ühe konkreetse kohtuorganiga.</w:t>
      </w:r>
      <w:r w:rsidRPr="00B66D54">
        <w:rPr>
          <w:rStyle w:val="Allmrkuseviide"/>
        </w:rPr>
        <w:footnoteReference w:id="15"/>
      </w:r>
      <w:r w:rsidRPr="00B66D54">
        <w:t xml:space="preserve"> Püramiidskeemi loogiliseks aluseks oli </w:t>
      </w:r>
      <w:r w:rsidRPr="00B66D54">
        <w:rPr>
          <w:b/>
          <w:bCs/>
        </w:rPr>
        <w:t>õigusemõistmise territoriaalse läheduse põhimõte</w:t>
      </w:r>
      <w:r w:rsidRPr="00B66D54">
        <w:t xml:space="preserve">, s.o konkreetselt piiritletav maa-ala koos teatud hulga isikutega, mida I astme kohus teenindas. </w:t>
      </w:r>
      <w:r w:rsidR="00F21529">
        <w:t xml:space="preserve">Omaaegne </w:t>
      </w:r>
      <w:r w:rsidR="00F21529">
        <w:lastRenderedPageBreak/>
        <w:t>f</w:t>
      </w:r>
      <w:r w:rsidRPr="00B66D54">
        <w:t xml:space="preserve">ilosoofiline põhjendus õigusemõistmise territoriaalse läheduse põhimõttele </w:t>
      </w:r>
      <w:r w:rsidR="00F21529">
        <w:t xml:space="preserve">sai </w:t>
      </w:r>
      <w:r w:rsidRPr="00B66D54">
        <w:t>seisne</w:t>
      </w:r>
      <w:r w:rsidR="00F21529">
        <w:t>da</w:t>
      </w:r>
      <w:r w:rsidRPr="00B66D54">
        <w:t xml:space="preserve"> selles, et läbi õigusemõistmise läheduse loodi eeldus õigusnormide järgimiseks ning sellega </w:t>
      </w:r>
      <w:r w:rsidR="00F21529">
        <w:t>oli võimalik vähendada</w:t>
      </w:r>
      <w:r w:rsidRPr="00B66D54">
        <w:t xml:space="preserve"> omakohut ja kindlustati riigivõimu autoriteeti. Õigusemõistmise vähene kättesaadavus võis soodustada probleemide lahendamist füüsilise vägivalla teel.</w:t>
      </w:r>
      <w:r w:rsidR="00F21529">
        <w:t xml:space="preserve"> </w:t>
      </w:r>
    </w:p>
    <w:p w14:paraId="0BF0FF4C" w14:textId="77777777" w:rsidR="00782EE0" w:rsidRDefault="00782EE0" w:rsidP="00782EE0">
      <w:pPr>
        <w:pStyle w:val="Loendilik"/>
        <w:numPr>
          <w:ilvl w:val="0"/>
          <w:numId w:val="12"/>
        </w:numPr>
        <w:jc w:val="both"/>
      </w:pPr>
      <w:r>
        <w:t>P</w:t>
      </w:r>
      <w:r w:rsidRPr="001D12D2">
        <w:t>üramiidskeemi</w:t>
      </w:r>
      <w:r>
        <w:t>st ja territoriaalse läheduse põhimõttest lähtumist tingisid praktilised asjaolud</w:t>
      </w:r>
      <w:r w:rsidRPr="001D12D2">
        <w:t>:</w:t>
      </w:r>
    </w:p>
    <w:p w14:paraId="377EBE35" w14:textId="77777777" w:rsidR="00782EE0" w:rsidRPr="001D12D2" w:rsidRDefault="00782EE0" w:rsidP="00782EE0">
      <w:pPr>
        <w:pStyle w:val="Loendilik"/>
        <w:numPr>
          <w:ilvl w:val="1"/>
          <w:numId w:val="12"/>
        </w:numPr>
        <w:jc w:val="both"/>
      </w:pPr>
      <w:r w:rsidRPr="001D12D2">
        <w:t>mida madalama astme kohtuga o</w:t>
      </w:r>
      <w:r>
        <w:t>li</w:t>
      </w:r>
      <w:r w:rsidRPr="001D12D2">
        <w:t xml:space="preserve"> tegemist, siis seda kättesaadavam </w:t>
      </w:r>
      <w:r>
        <w:t xml:space="preserve">see </w:t>
      </w:r>
      <w:r w:rsidRPr="001D12D2">
        <w:t>p</w:t>
      </w:r>
      <w:r>
        <w:t>idi</w:t>
      </w:r>
      <w:r w:rsidRPr="001D12D2">
        <w:t xml:space="preserve"> isikutele olema. Sellega tagat</w:t>
      </w:r>
      <w:r>
        <w:t>i</w:t>
      </w:r>
      <w:r w:rsidRPr="001D12D2">
        <w:t xml:space="preserve">, et isik saaks pöörduda oma õiguste </w:t>
      </w:r>
      <w:proofErr w:type="spellStart"/>
      <w:r w:rsidRPr="001D12D2">
        <w:t>maksmapanemiseks</w:t>
      </w:r>
      <w:proofErr w:type="spellEnd"/>
      <w:r w:rsidRPr="001D12D2">
        <w:t xml:space="preserve"> kohtusse ja </w:t>
      </w:r>
      <w:r>
        <w:t xml:space="preserve">et ta </w:t>
      </w:r>
      <w:r w:rsidRPr="001D12D2">
        <w:t xml:space="preserve">ei jätaks seda kohtu </w:t>
      </w:r>
      <w:r>
        <w:t>liiga suure vahemaa</w:t>
      </w:r>
      <w:r w:rsidRPr="001D12D2">
        <w:t xml:space="preserve"> tõttu tegemata. Selle abil o</w:t>
      </w:r>
      <w:r>
        <w:t>li</w:t>
      </w:r>
      <w:r w:rsidRPr="001D12D2">
        <w:t xml:space="preserve"> võimalik vähendad</w:t>
      </w:r>
      <w:r>
        <w:t>a</w:t>
      </w:r>
      <w:r w:rsidRPr="001D12D2">
        <w:t xml:space="preserve"> omakohtu riski. Selleks, et isikud saaksid realiseerida vähemalt ühe korra edasikaebeõigust, p</w:t>
      </w:r>
      <w:r>
        <w:t>idid</w:t>
      </w:r>
      <w:r w:rsidRPr="001D12D2">
        <w:t xml:space="preserve"> teise astme kohtud olema kättesaadavad (nendes astmetes toimu</w:t>
      </w:r>
      <w:r>
        <w:t>s</w:t>
      </w:r>
      <w:r w:rsidRPr="001D12D2">
        <w:t xml:space="preserve"> kogu ulatuses asja sisuline arutelu); </w:t>
      </w:r>
    </w:p>
    <w:p w14:paraId="1453C88E" w14:textId="621F9D14" w:rsidR="00782EE0" w:rsidRPr="001D12D2" w:rsidRDefault="00782EE0" w:rsidP="00782EE0">
      <w:pPr>
        <w:pStyle w:val="Loendilik"/>
        <w:numPr>
          <w:ilvl w:val="1"/>
          <w:numId w:val="12"/>
        </w:numPr>
        <w:jc w:val="both"/>
      </w:pPr>
      <w:r>
        <w:t>a</w:t>
      </w:r>
      <w:r w:rsidRPr="001D12D2">
        <w:t>rvestada tul</w:t>
      </w:r>
      <w:r>
        <w:t>i</w:t>
      </w:r>
      <w:r w:rsidRPr="001D12D2">
        <w:t xml:space="preserve"> seda, et</w:t>
      </w:r>
      <w:r>
        <w:t xml:space="preserve"> kohtute töö</w:t>
      </w:r>
      <w:r w:rsidRPr="001D12D2">
        <w:t>piirkonnad o</w:t>
      </w:r>
      <w:r>
        <w:t>leksid</w:t>
      </w:r>
      <w:r w:rsidRPr="001D12D2">
        <w:t xml:space="preserve"> võrreldavas suuruses ja isikutel</w:t>
      </w:r>
      <w:r>
        <w:t>e</w:t>
      </w:r>
      <w:r w:rsidRPr="001D12D2">
        <w:t xml:space="preserve"> mõistliku teekonna kaugusel</w:t>
      </w:r>
      <w:r>
        <w:t>.</w:t>
      </w:r>
      <w:r>
        <w:rPr>
          <w:rStyle w:val="Allmrkuseviide"/>
        </w:rPr>
        <w:footnoteReference w:id="16"/>
      </w:r>
      <w:r w:rsidRPr="001D12D2">
        <w:t xml:space="preserve"> </w:t>
      </w:r>
      <w:r>
        <w:t>Ühelt poolt puudutas see inimeste juurdepääsu kohtule. Teiselt poolt oli see seotud sellega, et kohtud oleksid juristidega mehitatud.</w:t>
      </w:r>
      <w:r w:rsidRPr="001D12D2">
        <w:t xml:space="preserve"> Pikkade vahemaade taha sõitmine, kas siis </w:t>
      </w:r>
      <w:r>
        <w:t xml:space="preserve">kohtusse tööle või oma õiguste </w:t>
      </w:r>
      <w:proofErr w:type="spellStart"/>
      <w:r>
        <w:t>maksmapanemiseks</w:t>
      </w:r>
      <w:proofErr w:type="spellEnd"/>
      <w:r w:rsidRPr="001D12D2">
        <w:t>,</w:t>
      </w:r>
      <w:r>
        <w:t xml:space="preserve"> oleks</w:t>
      </w:r>
      <w:r w:rsidRPr="001D12D2">
        <w:t xml:space="preserve"> pärs</w:t>
      </w:r>
      <w:r>
        <w:t>sinud</w:t>
      </w:r>
      <w:r w:rsidRPr="001D12D2">
        <w:t xml:space="preserve"> õigusemõistmist ja selle kättesaadavust</w:t>
      </w:r>
      <w:r w:rsidR="00F21529">
        <w:rPr>
          <w:rStyle w:val="Allmrkuseviide"/>
        </w:rPr>
        <w:footnoteReference w:id="17"/>
      </w:r>
      <w:r w:rsidRPr="001D12D2">
        <w:t>;</w:t>
      </w:r>
    </w:p>
    <w:p w14:paraId="6D41A622" w14:textId="77777777" w:rsidR="00782EE0" w:rsidRDefault="00782EE0" w:rsidP="00782EE0">
      <w:pPr>
        <w:pStyle w:val="Loendilik"/>
        <w:numPr>
          <w:ilvl w:val="1"/>
          <w:numId w:val="12"/>
        </w:numPr>
        <w:jc w:val="both"/>
      </w:pPr>
      <w:r w:rsidRPr="001D12D2">
        <w:t xml:space="preserve">õigusemõistmine toimus kindlas asukohas/majas ja kogu kohtuastme organi(te) juhtimine oli allutatud ühele inimesele. </w:t>
      </w:r>
      <w:r>
        <w:t>Selle kaudu oli võimalik tagada</w:t>
      </w:r>
      <w:r w:rsidRPr="001D12D2">
        <w:t xml:space="preserve"> tulemusliku ja kiire </w:t>
      </w:r>
      <w:r>
        <w:t xml:space="preserve">organisatsiooni puudutavate </w:t>
      </w:r>
      <w:r w:rsidRPr="001D12D2">
        <w:t>küsimuste lahendami</w:t>
      </w:r>
      <w:r>
        <w:t>n</w:t>
      </w:r>
      <w:r w:rsidRPr="001D12D2">
        <w:t>e.</w:t>
      </w:r>
      <w:r>
        <w:rPr>
          <w:rStyle w:val="Allmrkuseviide"/>
        </w:rPr>
        <w:footnoteReference w:id="18"/>
      </w:r>
    </w:p>
    <w:p w14:paraId="3C36BBB2" w14:textId="3A991231" w:rsidR="00782EE0" w:rsidRDefault="00782EE0" w:rsidP="00782EE0">
      <w:pPr>
        <w:pStyle w:val="Loendilik"/>
        <w:numPr>
          <w:ilvl w:val="0"/>
          <w:numId w:val="12"/>
        </w:numPr>
        <w:jc w:val="both"/>
      </w:pPr>
      <w:r>
        <w:t>Ükski eespool kirjeldatud dokument ei võimalda järeldada, et põhiseaduse koostamise ajal – 1991. ja 1992. a-l – ei peetud eespool nimetatud põhimõtteid oluliseks. Küsimus on, kas PS § 148 koostoimes PS</w:t>
      </w:r>
      <w:r w:rsidR="00F21529">
        <w:t xml:space="preserve"> §-ga 12,</w:t>
      </w:r>
      <w:r>
        <w:t xml:space="preserve"> § 15 </w:t>
      </w:r>
      <w:proofErr w:type="spellStart"/>
      <w:r>
        <w:t>lg-ga</w:t>
      </w:r>
      <w:proofErr w:type="spellEnd"/>
      <w:r>
        <w:t xml:space="preserve"> 1 ning § 24 lg-</w:t>
      </w:r>
      <w:proofErr w:type="spellStart"/>
      <w:r>
        <w:t>tega</w:t>
      </w:r>
      <w:proofErr w:type="spellEnd"/>
      <w:r>
        <w:t xml:space="preserve"> 1 ja 2 on tänases ajas ja ruumis saanud uue mõtte võrreldes varasema ajaga.</w:t>
      </w:r>
    </w:p>
    <w:p w14:paraId="120203CD" w14:textId="77777777" w:rsidR="00782EE0" w:rsidRDefault="00782EE0" w:rsidP="00782EE0">
      <w:pPr>
        <w:pStyle w:val="Loendilik"/>
        <w:ind w:left="1080"/>
        <w:jc w:val="both"/>
      </w:pPr>
    </w:p>
    <w:p w14:paraId="4DBA3E7D" w14:textId="524B5E6D" w:rsidR="00782EE0" w:rsidRPr="00782EE0" w:rsidRDefault="00782EE0" w:rsidP="00782EE0">
      <w:pPr>
        <w:pStyle w:val="Pealkiri1"/>
        <w:spacing w:before="0" w:after="160"/>
        <w:jc w:val="center"/>
        <w:rPr>
          <w:rFonts w:asciiTheme="minorHAnsi" w:hAnsiTheme="minorHAnsi"/>
          <w:b/>
          <w:bCs/>
          <w:color w:val="auto"/>
          <w:sz w:val="22"/>
          <w:szCs w:val="22"/>
        </w:rPr>
      </w:pPr>
      <w:bookmarkStart w:id="35" w:name="_Toc183355297"/>
      <w:bookmarkStart w:id="36" w:name="_Toc183355434"/>
      <w:bookmarkStart w:id="37" w:name="_Toc183355763"/>
      <w:bookmarkStart w:id="38" w:name="_Toc183436492"/>
      <w:r w:rsidRPr="00187A75">
        <w:rPr>
          <w:rFonts w:asciiTheme="minorHAnsi" w:hAnsiTheme="minorHAnsi"/>
          <w:b/>
          <w:bCs/>
          <w:color w:val="auto"/>
          <w:sz w:val="22"/>
          <w:szCs w:val="22"/>
        </w:rPr>
        <w:t>IV</w:t>
      </w:r>
      <w:bookmarkStart w:id="39" w:name="_Toc183355298"/>
      <w:bookmarkEnd w:id="35"/>
      <w:r>
        <w:rPr>
          <w:rFonts w:asciiTheme="minorHAnsi" w:hAnsiTheme="minorHAnsi"/>
          <w:b/>
          <w:bCs/>
          <w:color w:val="auto"/>
          <w:sz w:val="22"/>
          <w:szCs w:val="22"/>
        </w:rPr>
        <w:t xml:space="preserve"> </w:t>
      </w:r>
      <w:r w:rsidRPr="00187A75">
        <w:rPr>
          <w:rFonts w:asciiTheme="minorHAnsi" w:hAnsiTheme="minorHAnsi"/>
          <w:b/>
          <w:bCs/>
          <w:color w:val="auto"/>
          <w:sz w:val="22"/>
          <w:szCs w:val="22"/>
        </w:rPr>
        <w:t>Riigikohtu asjakohane praktika</w:t>
      </w:r>
      <w:bookmarkEnd w:id="36"/>
      <w:bookmarkEnd w:id="37"/>
      <w:bookmarkEnd w:id="38"/>
      <w:bookmarkEnd w:id="39"/>
    </w:p>
    <w:p w14:paraId="7A6335E7" w14:textId="502FBD8C" w:rsidR="00D43605" w:rsidRDefault="00D43605" w:rsidP="00782EE0">
      <w:pPr>
        <w:pStyle w:val="Loendilik"/>
        <w:numPr>
          <w:ilvl w:val="0"/>
          <w:numId w:val="3"/>
        </w:numPr>
        <w:jc w:val="both"/>
      </w:pPr>
      <w:r>
        <w:t>Riigikohtu üldkogu asus 8. juuni 2009. a otsuse asja nr 3-4-1-7-08 p-des 29–33 (</w:t>
      </w:r>
      <w:r w:rsidR="00BE1C0A">
        <w:t>nn</w:t>
      </w:r>
      <w:r>
        <w:t xml:space="preserve"> </w:t>
      </w:r>
      <w:r w:rsidRPr="00782EE0">
        <w:rPr>
          <w:b/>
          <w:bCs/>
        </w:rPr>
        <w:t>VAKO kaasus</w:t>
      </w:r>
      <w:r>
        <w:t>) seisukohale, et RHS § 129 lg 1, mille kohaselt Riigihangete vaidlustuskomisjoni (VAKO) otsuse peale esitatakse kaebus ringkonnakohtule, on vastuolus mh PS § 149 lg-</w:t>
      </w:r>
      <w:proofErr w:type="spellStart"/>
      <w:r>
        <w:t>tega</w:t>
      </w:r>
      <w:proofErr w:type="spellEnd"/>
      <w:r>
        <w:t xml:space="preserve"> 1 ja 2. Riigikohus märkis esmalt, et PS § 149 lg 1 kohaselt algavad kohtuasjad esimese astme kohtust ning seda ei saa asendada haldusorganiga. Teiseks asus Riigikohus seisukohale, et ringkonnakohtu põhiseaduslik staatus on olla teise astme, mitte esimese astme kohus. Riigikohus ei käsitanud VAKO-t (esimese astme) kohtuna.</w:t>
      </w:r>
      <w:r w:rsidR="00FA31E1">
        <w:t xml:space="preserve"> </w:t>
      </w:r>
      <w:r w:rsidR="00693293">
        <w:t xml:space="preserve">Viidatud kaasuses nägi Riigikohus seaduse vastuolu PS § 149 lg-test 1 ja 2 tuleneva kohtute </w:t>
      </w:r>
      <w:r w:rsidR="00693293" w:rsidRPr="00782EE0">
        <w:rPr>
          <w:b/>
          <w:bCs/>
        </w:rPr>
        <w:t>astmepädevusega</w:t>
      </w:r>
      <w:r w:rsidR="00693293">
        <w:t>. Seadusandja ei saa PS §-s 149 sätestatud erinevate kohtuastmete pädevusi seadusega muuta</w:t>
      </w:r>
      <w:r w:rsidR="006B3A4F">
        <w:t xml:space="preserve">, s.o teha ringkonnakohut esimese astme kohtuks. Teine </w:t>
      </w:r>
      <w:r w:rsidR="006B3A4F">
        <w:lastRenderedPageBreak/>
        <w:t>oluline väljendatud põhimõte oli kohtuasja algamine esimese astme kohtust.</w:t>
      </w:r>
      <w:r w:rsidR="00BF2995">
        <w:rPr>
          <w:rStyle w:val="Allmrkuseviide"/>
        </w:rPr>
        <w:footnoteReference w:id="19"/>
      </w:r>
      <w:r w:rsidR="00347F68">
        <w:t xml:space="preserve"> PS § 149 keelab esimese kohtuastme asendamise täidesaatva riigivõimu juures tegutseva haldusorganiga.</w:t>
      </w:r>
      <w:r w:rsidR="00DB6074">
        <w:t xml:space="preserve"> Viidatud lahendis ei võetud seisukohta küsimuses, mi</w:t>
      </w:r>
      <w:r w:rsidR="00F21529">
        <w:t>tu kohtuorganit peab</w:t>
      </w:r>
      <w:r w:rsidR="00DB6074">
        <w:t xml:space="preserve"> PS §</w:t>
      </w:r>
      <w:r w:rsidR="005A5DB4">
        <w:t> </w:t>
      </w:r>
      <w:r w:rsidR="00DB6074">
        <w:t>148 mõttes</w:t>
      </w:r>
      <w:r w:rsidR="00F21529">
        <w:t xml:space="preserve"> riigis</w:t>
      </w:r>
      <w:r w:rsidR="00DB6074">
        <w:t xml:space="preserve"> olema.</w:t>
      </w:r>
    </w:p>
    <w:p w14:paraId="31488AA1" w14:textId="18362D55" w:rsidR="005F4EC0" w:rsidRDefault="00D43605" w:rsidP="00782EE0">
      <w:pPr>
        <w:pStyle w:val="Loendilik"/>
        <w:numPr>
          <w:ilvl w:val="0"/>
          <w:numId w:val="3"/>
        </w:numPr>
        <w:jc w:val="both"/>
      </w:pPr>
      <w:r>
        <w:t>R</w:t>
      </w:r>
      <w:r w:rsidR="005F4EC0">
        <w:t xml:space="preserve">iigikohtu üldkogu märkis 4. veebruari 2014. a otsuse asjas nr 3-4-1-29-13 p-s 44.1 (nn </w:t>
      </w:r>
      <w:r w:rsidR="005F4EC0" w:rsidRPr="00782EE0">
        <w:rPr>
          <w:b/>
          <w:bCs/>
        </w:rPr>
        <w:t>kohtujuristi kaasus</w:t>
      </w:r>
      <w:r w:rsidR="005F4EC0">
        <w:t>) järgmist: „</w:t>
      </w:r>
      <w:r w:rsidR="005F4EC0" w:rsidRPr="005F4EC0">
        <w:t xml:space="preserve">Kohus põhiseadusliku institutsioonina on üks riigivõimu teostajatest seadusandliku ja täidesaatva riigivõimu kõrval (PS § 4). Kohus institutsioonina on astendatud 1) maa- ja halduskohtuteks, 2) ringkonnakohtuteks ja 3) Riigikohtuks, kes vaatavad asju läbi vastavalt esimese astme kohtutena, apellatsioonikohtutena ja kassatsioonikohtuna (PS §-d 148 ja 149, KS § 9 </w:t>
      </w:r>
      <w:proofErr w:type="spellStart"/>
      <w:r w:rsidR="005F4EC0" w:rsidRPr="005F4EC0">
        <w:t>lg-d</w:t>
      </w:r>
      <w:proofErr w:type="spellEnd"/>
      <w:r w:rsidR="005F4EC0" w:rsidRPr="005F4EC0">
        <w:t xml:space="preserve"> 1 ja 2, § 18 </w:t>
      </w:r>
      <w:proofErr w:type="spellStart"/>
      <w:r w:rsidR="005F4EC0" w:rsidRPr="005F4EC0">
        <w:t>lg-d</w:t>
      </w:r>
      <w:proofErr w:type="spellEnd"/>
      <w:r w:rsidR="005F4EC0" w:rsidRPr="005F4EC0">
        <w:t xml:space="preserve"> 1 ja 2, § 22 </w:t>
      </w:r>
      <w:proofErr w:type="spellStart"/>
      <w:r w:rsidR="005F4EC0" w:rsidRPr="005F4EC0">
        <w:t>lg-d</w:t>
      </w:r>
      <w:proofErr w:type="spellEnd"/>
      <w:r w:rsidR="005F4EC0" w:rsidRPr="005F4EC0">
        <w:t xml:space="preserve"> 1 ja 2, § 25 lg 1).</w:t>
      </w:r>
      <w:r w:rsidR="005F4EC0">
        <w:t>“ Viidatud asjas käsitas Riigikohus kohut põhiseaduse mõttes põhiseadusliku institutsioonina</w:t>
      </w:r>
      <w:r w:rsidR="00C42FB4">
        <w:t>.</w:t>
      </w:r>
      <w:r w:rsidR="005C45AF">
        <w:t xml:space="preserve"> Samas põhiseadusliku organina nimetab põhiseadus selge sõnaga Riigikohut.</w:t>
      </w:r>
      <w:r w:rsidR="00C42FB4">
        <w:t xml:space="preserve"> Kohus kui põhiseaduslik institutsioon</w:t>
      </w:r>
      <w:r w:rsidR="005F4EC0">
        <w:t xml:space="preserve"> koosneb </w:t>
      </w:r>
      <w:r w:rsidR="00C42FB4">
        <w:t>maa- ja halduskohtutest, ringkonnakohtutest ja Riigikohtust. Viidatud lahend ei analüüsi seda, milliste põhiseaduse põhimõtete alusel tuleb kohtuid luua ja milliseid tingimusi põhiseadus seab kohtuorganisatsiooni kujundamisele, v.a pädevuse küsimused.</w:t>
      </w:r>
    </w:p>
    <w:p w14:paraId="57E1084B" w14:textId="1C2F2143" w:rsidR="00782EE0" w:rsidRDefault="008249C1" w:rsidP="00782EE0">
      <w:pPr>
        <w:pStyle w:val="Loendilik"/>
        <w:numPr>
          <w:ilvl w:val="0"/>
          <w:numId w:val="3"/>
        </w:numPr>
        <w:jc w:val="both"/>
      </w:pPr>
      <w:r>
        <w:t>Riigikohtu põhiseaduslikkuse järelevalve kolleegium</w:t>
      </w:r>
      <w:r w:rsidR="00CA3B2C">
        <w:t xml:space="preserve"> </w:t>
      </w:r>
      <w:r w:rsidR="00DB6074">
        <w:t>leidis</w:t>
      </w:r>
      <w:r w:rsidR="00CA3B2C">
        <w:t xml:space="preserve"> 10. mai 2016. a otsuses</w:t>
      </w:r>
      <w:r w:rsidR="00765132">
        <w:t xml:space="preserve"> asjas nr 3-4-1-31-15 (nn </w:t>
      </w:r>
      <w:r w:rsidR="00765132" w:rsidRPr="00782EE0">
        <w:rPr>
          <w:b/>
          <w:bCs/>
        </w:rPr>
        <w:t>kohtualluvuse kaasus</w:t>
      </w:r>
      <w:r w:rsidR="00765132">
        <w:t>)</w:t>
      </w:r>
      <w:r w:rsidR="00CA3B2C">
        <w:t xml:space="preserve">, </w:t>
      </w:r>
      <w:r w:rsidR="00DB6074">
        <w:t>et</w:t>
      </w:r>
      <w:r w:rsidR="00CA3B2C">
        <w:t xml:space="preserve"> halduskohtumenetluse seadustiku </w:t>
      </w:r>
      <w:r w:rsidR="00DB6074">
        <w:t xml:space="preserve">norm, mille kohaselt </w:t>
      </w:r>
      <w:r w:rsidR="00812F3C">
        <w:t>tuleb</w:t>
      </w:r>
      <w:r w:rsidR="00DB6074">
        <w:t xml:space="preserve"> Sotsiaalkindlustusameti peale esitatud kaebused</w:t>
      </w:r>
      <w:r w:rsidR="00812F3C">
        <w:t xml:space="preserve"> läbi vaadata</w:t>
      </w:r>
      <w:r w:rsidR="00DB6074">
        <w:t xml:space="preserve"> Tallinna </w:t>
      </w:r>
      <w:r w:rsidR="00812F3C">
        <w:t>H</w:t>
      </w:r>
      <w:r w:rsidR="00DB6074">
        <w:t>alduskohtu</w:t>
      </w:r>
      <w:r w:rsidR="00812F3C">
        <w:t>s</w:t>
      </w:r>
      <w:r w:rsidR="00DB6074">
        <w:t>, mitte kaebajale kõige lähemal</w:t>
      </w:r>
      <w:r w:rsidR="00812F3C">
        <w:t xml:space="preserve"> olevas</w:t>
      </w:r>
      <w:r w:rsidR="00DB6074">
        <w:t xml:space="preserve"> halduskohtu</w:t>
      </w:r>
      <w:r w:rsidR="00812F3C">
        <w:t>s (s.o Tartu Halduskohtus)</w:t>
      </w:r>
      <w:r w:rsidR="00DB6074">
        <w:t>, o</w:t>
      </w:r>
      <w:r w:rsidR="00812F3C">
        <w:t>li</w:t>
      </w:r>
      <w:r w:rsidR="00DB6074">
        <w:t xml:space="preserve"> põhiseaduspärane.</w:t>
      </w:r>
      <w:r w:rsidR="00DB6074">
        <w:rPr>
          <w:rStyle w:val="Allmrkuseviide"/>
        </w:rPr>
        <w:footnoteReference w:id="20"/>
      </w:r>
      <w:r w:rsidR="00405780">
        <w:t xml:space="preserve"> Viidatud lahendis </w:t>
      </w:r>
      <w:r w:rsidR="00812F3C">
        <w:t>tõi kolleegium esile</w:t>
      </w:r>
      <w:r w:rsidR="00405780">
        <w:t xml:space="preserve"> järgmis</w:t>
      </w:r>
      <w:r w:rsidR="00812F3C">
        <w:t>ed seisukohad</w:t>
      </w:r>
      <w:r w:rsidR="00405780">
        <w:t>:</w:t>
      </w:r>
    </w:p>
    <w:p w14:paraId="54662F35" w14:textId="77777777" w:rsidR="00782EE0" w:rsidRDefault="00782EE0" w:rsidP="00782EE0">
      <w:pPr>
        <w:pStyle w:val="Loendilik"/>
        <w:ind w:left="1416"/>
        <w:jc w:val="both"/>
      </w:pPr>
      <w:r>
        <w:t xml:space="preserve">a) </w:t>
      </w:r>
      <w:r w:rsidRPr="008249C1">
        <w:t xml:space="preserve">PS § 15 </w:t>
      </w:r>
      <w:proofErr w:type="spellStart"/>
      <w:r w:rsidRPr="008249C1">
        <w:t>l</w:t>
      </w:r>
      <w:r>
        <w:t>g-s</w:t>
      </w:r>
      <w:proofErr w:type="spellEnd"/>
      <w:r w:rsidRPr="008249C1">
        <w:t xml:space="preserve"> 1 sätestatud kohtusse pöördumise põhiõigusest koostoimes PS §</w:t>
      </w:r>
      <w:r>
        <w:t> </w:t>
      </w:r>
      <w:r w:rsidRPr="008249C1">
        <w:t>104 l</w:t>
      </w:r>
      <w:r>
        <w:t>g</w:t>
      </w:r>
      <w:r w:rsidRPr="008249C1">
        <w:t xml:space="preserve"> 2 p</w:t>
      </w:r>
      <w:r>
        <w:t>-g</w:t>
      </w:r>
      <w:r w:rsidRPr="008249C1">
        <w:t xml:space="preserve">a 14 ja §-ga 148 </w:t>
      </w:r>
      <w:r>
        <w:t xml:space="preserve">lasub </w:t>
      </w:r>
      <w:r w:rsidRPr="008249C1">
        <w:t>seadusandja</w:t>
      </w:r>
      <w:r>
        <w:t>l</w:t>
      </w:r>
      <w:r w:rsidRPr="008249C1">
        <w:t xml:space="preserve"> kohustus luua kohtusüsteem, mis kindlustab igaühele õigusemõistmise kättesaadavuse ebamõistlike pingutusteta. Protsessiõiguse normid, mis määravad kohtualluvuse, piiravad kaebaja võimalust pöörduda endale sobivasse kohtusse, s</w:t>
      </w:r>
      <w:r>
        <w:t>h</w:t>
      </w:r>
      <w:r w:rsidRPr="008249C1">
        <w:t xml:space="preserve"> õigust esitada kaebus enda elukohale kõige lähemale </w:t>
      </w:r>
      <w:r>
        <w:t>(</w:t>
      </w:r>
      <w:r w:rsidRPr="008249C1">
        <w:t>haldus</w:t>
      </w:r>
      <w:r>
        <w:t>)</w:t>
      </w:r>
      <w:r w:rsidRPr="008249C1">
        <w:t>kohtule.</w:t>
      </w:r>
    </w:p>
    <w:p w14:paraId="6F2DD879" w14:textId="77777777" w:rsidR="00782EE0" w:rsidRDefault="00782EE0" w:rsidP="00782EE0">
      <w:pPr>
        <w:pStyle w:val="Loendilik"/>
        <w:ind w:left="1416"/>
        <w:jc w:val="both"/>
      </w:pPr>
      <w:r>
        <w:t xml:space="preserve">b) </w:t>
      </w:r>
      <w:r w:rsidRPr="004F021F">
        <w:t xml:space="preserve">Normid, millega õiguslikult või faktiliselt raskendatakse isiku võimalust olla oma kohtuasja arutamise juures, riivavad </w:t>
      </w:r>
      <w:r>
        <w:t xml:space="preserve">PS § 24 </w:t>
      </w:r>
      <w:proofErr w:type="spellStart"/>
      <w:r>
        <w:t>lg-t</w:t>
      </w:r>
      <w:proofErr w:type="spellEnd"/>
      <w:r>
        <w:t xml:space="preserve"> 2</w:t>
      </w:r>
      <w:r w:rsidRPr="004F021F">
        <w:t>.</w:t>
      </w:r>
    </w:p>
    <w:p w14:paraId="4CD67A17" w14:textId="77777777" w:rsidR="00782EE0" w:rsidRDefault="00782EE0" w:rsidP="00782EE0">
      <w:pPr>
        <w:pStyle w:val="Loendilik"/>
        <w:ind w:left="1416"/>
        <w:jc w:val="both"/>
      </w:pPr>
      <w:r>
        <w:t xml:space="preserve">c) </w:t>
      </w:r>
      <w:r w:rsidRPr="001932FF">
        <w:t>Põhiseadusest tulenevalt on kohtualluvuse määramine seadusandja ülesanne.</w:t>
      </w:r>
      <w:r>
        <w:t xml:space="preserve"> PS § 24 lg 1 näeb ette põhiõiguse seadusega määratud kohtualluvusele. Seadusandja</w:t>
      </w:r>
      <w:r w:rsidRPr="00985F36">
        <w:t xml:space="preserve"> peab kindlustama kohtuasjade jaotamise kohtute vahel ette kindlaks määratud objektiivsete kriteeriumite alusel, hoides seeläbi ära asjade kohtutevahelist meelevaldset jagamist. Kohtualluvuse määramine seaduslikul teel peab justiitshaldustasandil tagama kohtu suurust arvestava </w:t>
      </w:r>
      <w:proofErr w:type="spellStart"/>
      <w:r w:rsidRPr="00985F36">
        <w:t>kohtunikevahelise</w:t>
      </w:r>
      <w:proofErr w:type="spellEnd"/>
      <w:r w:rsidRPr="00985F36">
        <w:t xml:space="preserve"> tööjaotuse ja seeläbi kohtusüsteemi tõhusa toimimise ning teiselt poolt isikute optimaalse juurdepääsu õigusemõistmisele.</w:t>
      </w:r>
      <w:r>
        <w:t xml:space="preserve"> Seadusandja </w:t>
      </w:r>
      <w:r>
        <w:lastRenderedPageBreak/>
        <w:t>õiguspoliitiline otsustus on, kus kohtud paiknevad ja milline on kohtute tööjaotus. Viimati märgitu on seotud kohtusüsteemi rahastamise ja riigieelarvega.</w:t>
      </w:r>
    </w:p>
    <w:p w14:paraId="5B169FFE" w14:textId="530A4812" w:rsidR="00782EE0" w:rsidRDefault="00782EE0" w:rsidP="00782EE0">
      <w:pPr>
        <w:pStyle w:val="Loendilik"/>
        <w:ind w:left="1416"/>
        <w:jc w:val="both"/>
      </w:pPr>
      <w:r>
        <w:t xml:space="preserve">d) </w:t>
      </w:r>
      <w:r w:rsidR="00F21529">
        <w:t>K</w:t>
      </w:r>
      <w:r>
        <w:t>ohtualluvuse puhul lähtumine mitte kaebaja, vaid vastustaja asukohast aitab paremini planeerida kohtute töökoormust ja lõppastmes tagada toimiv ja ökonoomne kohtusüsteem (nt ühte haldusakti vaidlustavad mitu isikut, haldusorganid peavad sageli kohtus enda seisukohti õigustama). Lisaks aitab vastustaja asukoha järgi kohtualluvuse määramine tagada parema sisulise pädevuse, sest kohtunikud spetsialiseeruvad sedalaadi haldusvaidlustele.</w:t>
      </w:r>
    </w:p>
    <w:p w14:paraId="0E04B2BC" w14:textId="77777777" w:rsidR="00782EE0" w:rsidRDefault="00782EE0" w:rsidP="00782EE0">
      <w:pPr>
        <w:pStyle w:val="Loendilik"/>
        <w:ind w:left="1416"/>
        <w:jc w:val="both"/>
      </w:pPr>
      <w:r>
        <w:t>e) Kohtualluvuse määramisel ja kohtute paiknemisel on seadusandjal lai otsustusruum. Samas kohtualluvuse ja kohtute asukohtade määramisel tuleb järgida, et põhiõiguste (s.o PS § 15 lg 1 ja § 24 lg 2) riive oleks proportsionaalne.</w:t>
      </w:r>
    </w:p>
    <w:p w14:paraId="2958D8B0" w14:textId="1978CC4F" w:rsidR="00782EE0" w:rsidRDefault="00782EE0" w:rsidP="00782EE0">
      <w:pPr>
        <w:pStyle w:val="Loendilik"/>
        <w:ind w:left="1416"/>
        <w:jc w:val="both"/>
      </w:pPr>
      <w:r>
        <w:t xml:space="preserve">f) Proportsionaalne põhiõiguste riive on see, et Jõgevalt pärit isik pidi SKA vastu kaebuse esitama Tallinna Halduskohtule. Kaebuse võis esitada elektrooniliselt, posti teel või elukoha lähedale kohtule, kes edastab selle pädevale halduskohtule. Seetõttu riivati kohtusse pöördumise õigust väheintensiivselt. PS § 24 </w:t>
      </w:r>
      <w:proofErr w:type="spellStart"/>
      <w:r>
        <w:t>lg-st</w:t>
      </w:r>
      <w:proofErr w:type="spellEnd"/>
      <w:r>
        <w:t xml:space="preserve"> 2 tulenevat õigust riivati väheintensiivselt, kuna valdavalt lahendatakse SKA vastu esitatud kaebused kirjalikus menetluses, istungit saab pidada teises kohtumajas või menetluskonverentsina, isik saab vajadusel toimikuga tutvuda lähimas kohtumajas ning võimalikud istungile ilmumise kulud saab vajadusel hüvitada. Lisaks jõuab Eesti mandriosa kaugemast punktist Tallinnasse kolme-neljatunniga, sh on ühistranspordiühendus Tallinnaga hea. Võrdsuspõhiõiguste rikkumist ei esine.</w:t>
      </w:r>
    </w:p>
    <w:p w14:paraId="124EF8F7" w14:textId="2C294949" w:rsidR="006A67DB" w:rsidRDefault="006A67DB" w:rsidP="00782EE0">
      <w:pPr>
        <w:pStyle w:val="Loendilik"/>
        <w:numPr>
          <w:ilvl w:val="0"/>
          <w:numId w:val="3"/>
        </w:numPr>
        <w:jc w:val="both"/>
      </w:pPr>
      <w:r>
        <w:t>Kuna</w:t>
      </w:r>
      <w:r w:rsidR="00687EFC">
        <w:t xml:space="preserve"> viimati</w:t>
      </w:r>
      <w:r>
        <w:t xml:space="preserve"> viidatud lahend on tehtud konkreetses normikontrollis, siis ei ole võimalik järeldada, et ka teistes kohtuasjades, sh teistes kohtuharudes (tsiviil- ja süüteoharus) oleksid põhiseaduspärasuse vaidluste korral eespool nimetatud põhiõiguste riived samuti proportsionaalsed. Arvestada tuleks erinevate juhtumite spetsiifikat.</w:t>
      </w:r>
      <w:r w:rsidR="00E867FC">
        <w:t xml:space="preserve"> Viimati märgitut eeskätt ka seetõttu, et kolleegium ei teinud otsust ühehäälselt, vaid viiest koosseisu liikmest jäid 2 liiget eriarvamusele.</w:t>
      </w:r>
    </w:p>
    <w:p w14:paraId="0C49CF2B" w14:textId="40712867" w:rsidR="006A67DB" w:rsidRDefault="00812F3C" w:rsidP="00782EE0">
      <w:pPr>
        <w:pStyle w:val="Loendilik"/>
        <w:numPr>
          <w:ilvl w:val="0"/>
          <w:numId w:val="3"/>
        </w:numPr>
        <w:jc w:val="both"/>
      </w:pPr>
      <w:r>
        <w:t xml:space="preserve">Lahendi kandev telg oli isiku põhiõiguse </w:t>
      </w:r>
      <w:r w:rsidRPr="00812F3C">
        <w:t>õigusemõistmise kättesaadavuse ebamõistlike pingutusteta</w:t>
      </w:r>
      <w:r>
        <w:t xml:space="preserve"> ja viibida oma asja arutamise juures </w:t>
      </w:r>
      <w:r w:rsidR="005D0B70">
        <w:t>riive põhiseaduspärasuse kontrollimisel.</w:t>
      </w:r>
      <w:r>
        <w:t xml:space="preserve"> </w:t>
      </w:r>
      <w:r w:rsidR="00267665">
        <w:t xml:space="preserve">Viidatud lahendis ei analüüsinud Riigikohus seda, milline peab põhiseaduse mõttes </w:t>
      </w:r>
      <w:r>
        <w:t xml:space="preserve">olema </w:t>
      </w:r>
      <w:r w:rsidR="00267665">
        <w:t>kohtusüsteem organisatoorse</w:t>
      </w:r>
      <w:r>
        <w:t>s mõttes, sh mitmest esimese ja teise astme kohtust peab kohtusüsteem koosnema</w:t>
      </w:r>
      <w:r w:rsidR="00267665">
        <w:t>.</w:t>
      </w:r>
      <w:r w:rsidR="006A67DB" w:rsidRPr="006A67DB">
        <w:t xml:space="preserve"> </w:t>
      </w:r>
      <w:r w:rsidR="006A67DB">
        <w:t>Seega puudutab viidatud lahend eeskätt põhiseaduses sätestatud põhiõiguste, mitte riigi</w:t>
      </w:r>
      <w:r w:rsidR="008B322A">
        <w:t xml:space="preserve"> </w:t>
      </w:r>
      <w:r w:rsidR="006A67DB">
        <w:t>organisatoorset dimensiooni PS § 148 valguses.</w:t>
      </w:r>
    </w:p>
    <w:p w14:paraId="0FB68FD2" w14:textId="66798C8F" w:rsidR="00782EE0" w:rsidRDefault="00E33998" w:rsidP="00782EE0">
      <w:pPr>
        <w:pStyle w:val="Loendilik"/>
        <w:numPr>
          <w:ilvl w:val="0"/>
          <w:numId w:val="3"/>
        </w:numPr>
        <w:jc w:val="both"/>
      </w:pPr>
      <w:r>
        <w:t xml:space="preserve">Viidatud lahendis käsitas Riigikohus PS § 15 </w:t>
      </w:r>
      <w:proofErr w:type="spellStart"/>
      <w:r>
        <w:t>lg-t</w:t>
      </w:r>
      <w:proofErr w:type="spellEnd"/>
      <w:r>
        <w:t xml:space="preserve"> 1 kui põhiõigust õigusemõistmise kättesaadavusele ebamõistlike pingutusteta, kuid ta jättis tähelepanuta </w:t>
      </w:r>
      <w:r w:rsidRPr="00782EE0">
        <w:rPr>
          <w:b/>
          <w:bCs/>
        </w:rPr>
        <w:t xml:space="preserve">põhiõiguse </w:t>
      </w:r>
      <w:r w:rsidR="008B322A" w:rsidRPr="00782EE0">
        <w:rPr>
          <w:b/>
          <w:bCs/>
        </w:rPr>
        <w:t xml:space="preserve">õigusemõistmise </w:t>
      </w:r>
      <w:r w:rsidRPr="00782EE0">
        <w:rPr>
          <w:b/>
          <w:bCs/>
        </w:rPr>
        <w:t xml:space="preserve">võrdsele juurdepääsule </w:t>
      </w:r>
      <w:r>
        <w:t>(PS § 12 lg 1 ja § 15 lg 1).</w:t>
      </w:r>
      <w:r>
        <w:rPr>
          <w:rStyle w:val="Allmrkuseviide"/>
        </w:rPr>
        <w:footnoteReference w:id="21"/>
      </w:r>
      <w:r>
        <w:t xml:space="preserve"> Kui õigusemõistmine</w:t>
      </w:r>
      <w:r w:rsidR="008B322A">
        <w:t xml:space="preserve"> riigis</w:t>
      </w:r>
      <w:r>
        <w:t xml:space="preserve"> tsentraliseerida, siis toob see kaasa selle, et need, kes asuvad kohtuorganitele lähemal, on soodsamas positsioonis, kui need, kes asuvad ääremaal.</w:t>
      </w:r>
      <w:r>
        <w:rPr>
          <w:rStyle w:val="Allmrkuseviide"/>
        </w:rPr>
        <w:footnoteReference w:id="22"/>
      </w:r>
    </w:p>
    <w:p w14:paraId="52949AB5" w14:textId="77777777" w:rsidR="00782EE0" w:rsidRDefault="00782EE0" w:rsidP="00782EE0">
      <w:pPr>
        <w:pStyle w:val="Loendilik"/>
        <w:jc w:val="both"/>
      </w:pPr>
    </w:p>
    <w:p w14:paraId="6A15A7A3" w14:textId="671D8804" w:rsidR="00782EE0" w:rsidRPr="00782EE0" w:rsidRDefault="00782EE0" w:rsidP="00782EE0">
      <w:pPr>
        <w:pStyle w:val="Pealkiri1"/>
        <w:spacing w:before="0" w:after="160"/>
        <w:jc w:val="center"/>
        <w:rPr>
          <w:rFonts w:asciiTheme="minorHAnsi" w:hAnsiTheme="minorHAnsi"/>
          <w:b/>
          <w:bCs/>
          <w:color w:val="auto"/>
          <w:sz w:val="22"/>
          <w:szCs w:val="22"/>
        </w:rPr>
      </w:pPr>
      <w:bookmarkStart w:id="40" w:name="_Toc183355299"/>
      <w:bookmarkStart w:id="41" w:name="_Toc183355435"/>
      <w:bookmarkStart w:id="42" w:name="_Toc183355764"/>
      <w:bookmarkStart w:id="43" w:name="_Toc183436493"/>
      <w:r w:rsidRPr="00C44E0D">
        <w:rPr>
          <w:rFonts w:asciiTheme="minorHAnsi" w:hAnsiTheme="minorHAnsi"/>
          <w:b/>
          <w:bCs/>
          <w:color w:val="auto"/>
          <w:sz w:val="22"/>
          <w:szCs w:val="22"/>
        </w:rPr>
        <w:lastRenderedPageBreak/>
        <w:t>V</w:t>
      </w:r>
      <w:bookmarkStart w:id="44" w:name="_Toc183355300"/>
      <w:bookmarkEnd w:id="40"/>
      <w:r>
        <w:rPr>
          <w:rFonts w:asciiTheme="minorHAnsi" w:hAnsiTheme="minorHAnsi"/>
          <w:b/>
          <w:bCs/>
          <w:color w:val="auto"/>
          <w:sz w:val="22"/>
          <w:szCs w:val="22"/>
        </w:rPr>
        <w:t xml:space="preserve"> </w:t>
      </w:r>
      <w:r w:rsidR="00341913">
        <w:rPr>
          <w:rFonts w:asciiTheme="minorHAnsi" w:hAnsiTheme="minorHAnsi"/>
          <w:b/>
          <w:bCs/>
          <w:color w:val="auto"/>
          <w:sz w:val="22"/>
          <w:szCs w:val="22"/>
        </w:rPr>
        <w:t>Metoodika</w:t>
      </w:r>
      <w:bookmarkEnd w:id="41"/>
      <w:bookmarkEnd w:id="42"/>
      <w:bookmarkEnd w:id="43"/>
      <w:bookmarkEnd w:id="44"/>
    </w:p>
    <w:p w14:paraId="4F360489" w14:textId="568E93B3" w:rsidR="00CB0455" w:rsidRDefault="00E867FC" w:rsidP="00782EE0">
      <w:pPr>
        <w:pStyle w:val="Loendilik"/>
        <w:numPr>
          <w:ilvl w:val="0"/>
          <w:numId w:val="3"/>
        </w:numPr>
        <w:jc w:val="both"/>
      </w:pPr>
      <w:r>
        <w:t>Esmalt tuleb selgust saada küsimuses, kas PS § 148 lg 1 p-d 1–2 on olemuselt reeg</w:t>
      </w:r>
      <w:r w:rsidR="00792ACD">
        <w:t>el</w:t>
      </w:r>
      <w:r>
        <w:t xml:space="preserve"> või printsii</w:t>
      </w:r>
      <w:r w:rsidR="00792ACD">
        <w:t>p</w:t>
      </w:r>
      <w:r>
        <w:t xml:space="preserve">. </w:t>
      </w:r>
      <w:r w:rsidR="00792ACD">
        <w:t>Reegli puhul on küsimus, kas normis sätestatud eeldused on täidetud, et kaasa tuua õiguslik tagajärg; printsiip seevastu ei anna konkreetset „ei“ või „jah“ vastust, vaid on õigusliku tagajärje osas avatud erinevate väärtuste vahel kaalumisele.</w:t>
      </w:r>
      <w:r w:rsidR="00792ACD">
        <w:rPr>
          <w:rStyle w:val="Allmrkuseviide"/>
        </w:rPr>
        <w:footnoteReference w:id="23"/>
      </w:r>
      <w:r w:rsidR="00792ACD">
        <w:t xml:space="preserve"> </w:t>
      </w:r>
      <w:r w:rsidR="00CB0455">
        <w:t>Kui omistada PS § 148 lg 1 p-dele 1–2 reegli iseloom, siis tuleks kontrollida, kas reegel oleks täidetud, kui riigis oleks üks maakohus ja üks ringkonnakohus. Seevastu, kui omistada PS § 148 lg 1 p-dele 1–2 printsiibi iseloom, siis tuleks asuda erinevaid väärtusi kaaluma, leidmaks proportsionaalne õiguslik tagajärg.</w:t>
      </w:r>
    </w:p>
    <w:p w14:paraId="0C05878B" w14:textId="3EC9587C" w:rsidR="0000665B" w:rsidRDefault="00792ACD" w:rsidP="00CB0455">
      <w:pPr>
        <w:pStyle w:val="Loendilik"/>
        <w:numPr>
          <w:ilvl w:val="0"/>
          <w:numId w:val="3"/>
        </w:numPr>
        <w:jc w:val="both"/>
      </w:pPr>
      <w:r>
        <w:t>Kas põhiseaduse norm on olemusel reegel või printsiip, siis se</w:t>
      </w:r>
      <w:r w:rsidR="0000665B">
        <w:t>llest vaheteost</w:t>
      </w:r>
      <w:r>
        <w:t xml:space="preserve"> </w:t>
      </w:r>
      <w:r w:rsidR="0000665B">
        <w:t>on Riigikohtu üldkogu lähtunud</w:t>
      </w:r>
      <w:r w:rsidR="00CB0455">
        <w:t xml:space="preserve"> näiteks</w:t>
      </w:r>
      <w:r w:rsidR="0000665B">
        <w:t xml:space="preserve"> 23. veebruari 2009. a otsuses asjas nr 3-4-1-18-08 (nn </w:t>
      </w:r>
      <w:r w:rsidR="0000665B" w:rsidRPr="0000665B">
        <w:rPr>
          <w:b/>
          <w:bCs/>
        </w:rPr>
        <w:t>Riigikogu liikme tasu kaasus</w:t>
      </w:r>
      <w:r w:rsidR="0000665B">
        <w:t>). Viimati viidatud vaidluses oli õiguskantsler seisukohal, et PS § 75 on printsiip, mitte reegel, samas Riigikohus omistas normile reegli tähenduse</w:t>
      </w:r>
      <w:r w:rsidR="00CB0455">
        <w:t xml:space="preserve"> ja kontrollis, kas Riigikogu on põhiseadusest tulenevat keeldu rikkunud</w:t>
      </w:r>
      <w:r w:rsidR="0000665B">
        <w:t>.</w:t>
      </w:r>
      <w:r w:rsidR="0000665B">
        <w:rPr>
          <w:rStyle w:val="Allmrkuseviide"/>
        </w:rPr>
        <w:footnoteReference w:id="24"/>
      </w:r>
      <w:r w:rsidR="0000665B">
        <w:t xml:space="preserve"> Riigikohtu üldkogu</w:t>
      </w:r>
      <w:r w:rsidR="00CB0455">
        <w:t xml:space="preserve"> kontrollis nt ka kohtujuristi kaasuses</w:t>
      </w:r>
      <w:r w:rsidR="0000665B">
        <w:t>, kas PS § 146 keeldu on rikutud, mitte ei asunud erinevaid väärtusi kaaluma</w:t>
      </w:r>
      <w:r w:rsidR="00CB0455">
        <w:t xml:space="preserve"> ja selle abil leidmaks proportsionaalne õiguslik tagajärg</w:t>
      </w:r>
      <w:r w:rsidR="0000665B">
        <w:t xml:space="preserve">. </w:t>
      </w:r>
      <w:r w:rsidR="00CB0455">
        <w:t xml:space="preserve">Riigikohtu üldkogu kontrollis nt ka </w:t>
      </w:r>
      <w:r w:rsidR="0000665B">
        <w:t xml:space="preserve">VAKO kaasuses, kas PS § 148 ja § 149 eeldused olid täidetud, mitte ei asunud erinevate väärtuste kaalumise teel </w:t>
      </w:r>
      <w:r w:rsidR="00CB0455">
        <w:t xml:space="preserve">proportsionaalset </w:t>
      </w:r>
      <w:r w:rsidR="0000665B">
        <w:t>õiguslikku tagajärge otsima.</w:t>
      </w:r>
      <w:r w:rsidR="006F6B12">
        <w:t xml:space="preserve"> Kaalumise meetodit kasutas Riigikohus </w:t>
      </w:r>
      <w:r w:rsidR="001D1771">
        <w:t>nt kohtualluvuse kaasuses.</w:t>
      </w:r>
    </w:p>
    <w:p w14:paraId="2DFFEBBE" w14:textId="74112B11" w:rsidR="00341913" w:rsidRDefault="00C6535F" w:rsidP="00341913">
      <w:pPr>
        <w:pStyle w:val="Loendilik"/>
        <w:numPr>
          <w:ilvl w:val="0"/>
          <w:numId w:val="3"/>
        </w:numPr>
        <w:jc w:val="both"/>
      </w:pPr>
      <w:r>
        <w:t>PS § 148 lg 1 p-de 1–2 reegliks klassifitseerimise kasuks räägib normi konkreetne sõnastus. Vaieldav on, kas ja kui palju saavad põhiseaduses reguleeritud riigikorralduslikud küsimused olla printsiibid. Need normid puudutavad riigi ülesehitust. Kui kõik need normid oleksid avatud kaalumisele, siis oleks võimalik riigiarhitektuuri pidevalt ümber kujundada. Kaalumine selles küsimuses jätaks otsustajatele suure valikuvabaduse. Samas on normide klassifitseerimine alati ka õiguspoliitilise valiku koht.</w:t>
      </w:r>
    </w:p>
    <w:p w14:paraId="154810AA" w14:textId="3A68D653" w:rsidR="00341913" w:rsidRPr="00341913" w:rsidRDefault="00341913" w:rsidP="00341913">
      <w:pPr>
        <w:pStyle w:val="Pealkiri1"/>
        <w:spacing w:after="160"/>
        <w:jc w:val="center"/>
        <w:rPr>
          <w:rFonts w:asciiTheme="minorHAnsi" w:hAnsiTheme="minorHAnsi"/>
          <w:b/>
          <w:bCs/>
          <w:color w:val="auto"/>
          <w:sz w:val="22"/>
          <w:szCs w:val="22"/>
        </w:rPr>
      </w:pPr>
      <w:bookmarkStart w:id="45" w:name="_Toc183436494"/>
      <w:r>
        <w:rPr>
          <w:rFonts w:asciiTheme="minorHAnsi" w:hAnsiTheme="minorHAnsi"/>
          <w:b/>
          <w:bCs/>
          <w:color w:val="auto"/>
          <w:sz w:val="22"/>
          <w:szCs w:val="22"/>
        </w:rPr>
        <w:t xml:space="preserve">VI </w:t>
      </w:r>
      <w:r w:rsidRPr="00341913">
        <w:rPr>
          <w:rFonts w:asciiTheme="minorHAnsi" w:hAnsiTheme="minorHAnsi"/>
          <w:b/>
          <w:bCs/>
          <w:color w:val="auto"/>
          <w:sz w:val="22"/>
          <w:szCs w:val="22"/>
        </w:rPr>
        <w:t>Normi otstarve ja mõte</w:t>
      </w:r>
      <w:bookmarkEnd w:id="45"/>
    </w:p>
    <w:p w14:paraId="371EF4FB" w14:textId="77777777" w:rsidR="003C746E" w:rsidRDefault="000A7F37" w:rsidP="00341913">
      <w:pPr>
        <w:pStyle w:val="Loendilik"/>
        <w:numPr>
          <w:ilvl w:val="0"/>
          <w:numId w:val="3"/>
        </w:numPr>
        <w:jc w:val="both"/>
      </w:pPr>
      <w:r>
        <w:t xml:space="preserve">PS § 148 otstarbeks </w:t>
      </w:r>
      <w:r w:rsidR="005C45AF">
        <w:t xml:space="preserve">on </w:t>
      </w:r>
      <w:r w:rsidR="00B55E50">
        <w:t>põhiseaduse</w:t>
      </w:r>
      <w:r>
        <w:t xml:space="preserve"> tasemel sätestada</w:t>
      </w:r>
      <w:r w:rsidR="00B55E50">
        <w:t xml:space="preserve"> lihtne kohtusüsteemi </w:t>
      </w:r>
      <w:r w:rsidR="00B55E50" w:rsidRPr="00C37830">
        <w:t>organisatsioon</w:t>
      </w:r>
      <w:r w:rsidRPr="00C37830">
        <w:t>.</w:t>
      </w:r>
      <w:r w:rsidR="00CB0455">
        <w:t xml:space="preserve"> </w:t>
      </w:r>
    </w:p>
    <w:p w14:paraId="4F327421" w14:textId="010EFD7A" w:rsidR="005C45AF" w:rsidRDefault="000A7F37" w:rsidP="00341913">
      <w:pPr>
        <w:pStyle w:val="Loendilik"/>
        <w:numPr>
          <w:ilvl w:val="0"/>
          <w:numId w:val="3"/>
        </w:numPr>
        <w:jc w:val="both"/>
      </w:pPr>
      <w:r>
        <w:t>Esmalt koosneb</w:t>
      </w:r>
      <w:r w:rsidR="007F296A">
        <w:t xml:space="preserve"> normi sõnastuse kohaselt</w:t>
      </w:r>
      <w:r>
        <w:t xml:space="preserve"> </w:t>
      </w:r>
      <w:r w:rsidR="00305B8D">
        <w:t>kohtusüsteem</w:t>
      </w:r>
      <w:r>
        <w:t xml:space="preserve"> </w:t>
      </w:r>
      <w:r w:rsidR="005C45AF">
        <w:t xml:space="preserve">kahest </w:t>
      </w:r>
      <w:r w:rsidR="00305B8D">
        <w:t>haru</w:t>
      </w:r>
      <w:r>
        <w:t>st</w:t>
      </w:r>
      <w:r w:rsidR="005C45AF">
        <w:t xml:space="preserve">, </w:t>
      </w:r>
      <w:r w:rsidR="00305B8D">
        <w:t xml:space="preserve">s.o </w:t>
      </w:r>
      <w:r>
        <w:t>eraõigus</w:t>
      </w:r>
      <w:r w:rsidR="005C45AF">
        <w:t>vaidlusi ja avalik-õiguslikke vaidlusi lahendavast harust</w:t>
      </w:r>
      <w:r w:rsidR="007F296A">
        <w:t xml:space="preserve"> (lingvistiline argument)</w:t>
      </w:r>
      <w:r w:rsidR="00B55E50">
        <w:t>.</w:t>
      </w:r>
      <w:r>
        <w:t xml:space="preserve"> </w:t>
      </w:r>
      <w:r w:rsidR="00305B8D">
        <w:t>Selline lähenemine tagab kohtute pädevuse läbipaistvuse, kuna isikute jaoks on õigusemõistmise ülesanded kontsentreeritud kahe algkohtu juurde.</w:t>
      </w:r>
      <w:r w:rsidR="00305B8D">
        <w:rPr>
          <w:rStyle w:val="Allmrkuseviide"/>
        </w:rPr>
        <w:footnoteReference w:id="25"/>
      </w:r>
      <w:r w:rsidR="00782F35">
        <w:t xml:space="preserve"> </w:t>
      </w:r>
      <w:r w:rsidR="00C37830">
        <w:t xml:space="preserve">Norm selles osas puudutab seega </w:t>
      </w:r>
      <w:r w:rsidR="00C37830" w:rsidRPr="00CB0455">
        <w:rPr>
          <w:b/>
          <w:bCs/>
        </w:rPr>
        <w:t>kohtutevahelist pädevust</w:t>
      </w:r>
      <w:r w:rsidR="00C37830">
        <w:t>, tagamaks Eesti õigusruumis aluseks võetud avaliku ja eraõiguse eristamise.</w:t>
      </w:r>
      <w:r w:rsidR="00C37830" w:rsidRPr="000A7F37">
        <w:t xml:space="preserve"> </w:t>
      </w:r>
      <w:r>
        <w:t>Erinevad autorid on märkinud, et k</w:t>
      </w:r>
      <w:r w:rsidR="00782F35">
        <w:t>una nt võrreldes Saksamaa Liitvabariigiga on Eesti elanike arv ja kohtuasjade hulk väike, siis puudub vajadus enamate harude järele.</w:t>
      </w:r>
      <w:r w:rsidR="00782F35">
        <w:rPr>
          <w:rStyle w:val="Allmrkuseviide"/>
        </w:rPr>
        <w:footnoteReference w:id="26"/>
      </w:r>
      <w:r w:rsidR="00782F35">
        <w:t xml:space="preserve"> </w:t>
      </w:r>
    </w:p>
    <w:p w14:paraId="00D70DA7" w14:textId="3B8CF88B" w:rsidR="00E36E4E" w:rsidRDefault="005C45AF" w:rsidP="00782EE0">
      <w:pPr>
        <w:pStyle w:val="Loendilik"/>
        <w:numPr>
          <w:ilvl w:val="0"/>
          <w:numId w:val="3"/>
        </w:numPr>
        <w:jc w:val="both"/>
      </w:pPr>
      <w:r>
        <w:t>Teiseks loob PS § 148 k</w:t>
      </w:r>
      <w:r w:rsidR="000A7F37">
        <w:t>ohtusüsteem</w:t>
      </w:r>
      <w:r>
        <w:t xml:space="preserve">i astenduse, mille kohaselt on kohtusüsteem </w:t>
      </w:r>
      <w:r w:rsidR="000A7F37">
        <w:t>kolme</w:t>
      </w:r>
      <w:r>
        <w:t>astmeline</w:t>
      </w:r>
      <w:r w:rsidR="007F296A">
        <w:t xml:space="preserve"> (</w:t>
      </w:r>
      <w:proofErr w:type="spellStart"/>
      <w:r w:rsidR="007F296A">
        <w:t>lingivistiline</w:t>
      </w:r>
      <w:proofErr w:type="spellEnd"/>
      <w:r w:rsidR="007F296A">
        <w:t xml:space="preserve"> argument)</w:t>
      </w:r>
      <w:r>
        <w:t xml:space="preserve">. Kohtusüsteemi astendamist tuleb käsitada koostoimes astmete pädevust puudutava normiga ehk PS §-ga 149, mis sätestab iga </w:t>
      </w:r>
      <w:r>
        <w:lastRenderedPageBreak/>
        <w:t xml:space="preserve">kohtuastme pädevuse (nn </w:t>
      </w:r>
      <w:r w:rsidRPr="00782EE0">
        <w:rPr>
          <w:b/>
          <w:bCs/>
        </w:rPr>
        <w:t>astmepädevus</w:t>
      </w:r>
      <w:r>
        <w:t>).</w:t>
      </w:r>
      <w:r w:rsidR="00E36E4E">
        <w:t xml:space="preserve"> Astmepädevusnormidega on jagatud kohtu kui institutsiooni sisemised </w:t>
      </w:r>
      <w:r w:rsidR="00E36E4E" w:rsidRPr="00E36E4E">
        <w:t>ülesanded, õigused ja kohustused:</w:t>
      </w:r>
      <w:r w:rsidR="00E36E4E">
        <w:t xml:space="preserve"> 1) maa- ja halduskohtud esimese kohtuastmena täidavad alg- ehk esmatasandi kohtu ülesandeid; 2) ringkonnakohtud teise kohtuastmena täidavad apellatsiooni ülesandeid ning 3) Riigikohus kõrgema kohtuna täidab kassatsiooni ja põhiseaduslikkuse järelevalve ülesandeid.</w:t>
      </w:r>
      <w:r w:rsidR="00E36E4E">
        <w:rPr>
          <w:rStyle w:val="Allmrkuseviide"/>
        </w:rPr>
        <w:footnoteReference w:id="27"/>
      </w:r>
      <w:r w:rsidR="00E36E4E">
        <w:t xml:space="preserve"> </w:t>
      </w:r>
    </w:p>
    <w:p w14:paraId="4AFE6109" w14:textId="55336FC5" w:rsidR="000C5F5B" w:rsidRDefault="000C5F5B" w:rsidP="00782EE0">
      <w:pPr>
        <w:pStyle w:val="Loendilik"/>
        <w:numPr>
          <w:ilvl w:val="0"/>
          <w:numId w:val="3"/>
        </w:numPr>
        <w:jc w:val="both"/>
      </w:pPr>
      <w:r>
        <w:t>K</w:t>
      </w:r>
      <w:r w:rsidRPr="000C5F5B">
        <w:t xml:space="preserve">ohtuastmete pädevusi </w:t>
      </w:r>
      <w:r>
        <w:t xml:space="preserve">ei ole lubatud </w:t>
      </w:r>
      <w:r w:rsidRPr="000C5F5B">
        <w:t xml:space="preserve">seadusega muuta. </w:t>
      </w:r>
      <w:r w:rsidR="004C31A3">
        <w:t>Samuti on k</w:t>
      </w:r>
      <w:r>
        <w:t xml:space="preserve">eelatud </w:t>
      </w:r>
      <w:r w:rsidRPr="000C5F5B">
        <w:t>esimese kohtuastme asendami</w:t>
      </w:r>
      <w:r>
        <w:t>ne</w:t>
      </w:r>
      <w:r w:rsidRPr="000C5F5B">
        <w:t xml:space="preserve"> täidesaatva riigivõimu juures tegutseva haldusorganiga</w:t>
      </w:r>
      <w:r w:rsidR="007F296A">
        <w:t xml:space="preserve"> </w:t>
      </w:r>
      <w:r w:rsidR="00BE1C0A">
        <w:t xml:space="preserve">(vt </w:t>
      </w:r>
      <w:proofErr w:type="spellStart"/>
      <w:r w:rsidR="00BE1C0A">
        <w:t>RKÜKo</w:t>
      </w:r>
      <w:proofErr w:type="spellEnd"/>
      <w:r w:rsidR="00BE1C0A">
        <w:t xml:space="preserve"> 8. juuni 2009, 3-4-1-7-08) </w:t>
      </w:r>
      <w:r w:rsidR="007F296A">
        <w:t>(</w:t>
      </w:r>
      <w:proofErr w:type="spellStart"/>
      <w:r w:rsidR="007F296A">
        <w:t>prejuditsiaalne</w:t>
      </w:r>
      <w:proofErr w:type="spellEnd"/>
      <w:r w:rsidR="007F296A">
        <w:t xml:space="preserve"> argument)</w:t>
      </w:r>
      <w:r w:rsidRPr="000C5F5B">
        <w:t>.</w:t>
      </w:r>
    </w:p>
    <w:p w14:paraId="34A8826A" w14:textId="455279D8" w:rsidR="005C45AF" w:rsidRDefault="007618A7" w:rsidP="00782EE0">
      <w:pPr>
        <w:pStyle w:val="Loendilik"/>
        <w:numPr>
          <w:ilvl w:val="0"/>
          <w:numId w:val="3"/>
        </w:numPr>
        <w:jc w:val="both"/>
      </w:pPr>
      <w:r>
        <w:t xml:space="preserve">Kolmandaks </w:t>
      </w:r>
      <w:r w:rsidR="00765426">
        <w:t>käsitab põhiseadus kohut ühe võimuharu</w:t>
      </w:r>
      <w:r w:rsidR="000C5F5B">
        <w:t>na ning</w:t>
      </w:r>
      <w:r w:rsidR="00765426">
        <w:t xml:space="preserve"> </w:t>
      </w:r>
      <w:r w:rsidR="00765426" w:rsidRPr="00782EE0">
        <w:rPr>
          <w:b/>
          <w:bCs/>
        </w:rPr>
        <w:t>põhiseadusliku institutsioonina</w:t>
      </w:r>
      <w:r w:rsidR="00765426">
        <w:t xml:space="preserve"> </w:t>
      </w:r>
      <w:r w:rsidR="000C5F5B">
        <w:t xml:space="preserve">teiste võimuharude ja institutsioonide kõrval </w:t>
      </w:r>
      <w:r w:rsidR="00765426">
        <w:t>(vt PS § 4, § 14, § 146, §</w:t>
      </w:r>
      <w:r w:rsidR="009E5438">
        <w:t> </w:t>
      </w:r>
      <w:r w:rsidR="00765426">
        <w:t>148 ja § 149</w:t>
      </w:r>
      <w:r w:rsidR="00BE1C0A">
        <w:t xml:space="preserve">; vt </w:t>
      </w:r>
      <w:proofErr w:type="spellStart"/>
      <w:r w:rsidR="00BE1C0A">
        <w:t>RKÜKo</w:t>
      </w:r>
      <w:proofErr w:type="spellEnd"/>
      <w:r w:rsidR="00BE1C0A">
        <w:t xml:space="preserve"> 4. veebruar 2014, 3-4-1-29-13) </w:t>
      </w:r>
      <w:r w:rsidR="007F296A">
        <w:t>(</w:t>
      </w:r>
      <w:proofErr w:type="spellStart"/>
      <w:r w:rsidR="007F296A">
        <w:t>prejuditsiaalne</w:t>
      </w:r>
      <w:proofErr w:type="spellEnd"/>
      <w:r w:rsidR="007F296A">
        <w:t xml:space="preserve"> argument)</w:t>
      </w:r>
      <w:r w:rsidR="00765426">
        <w:t>.</w:t>
      </w:r>
      <w:r w:rsidR="00653761">
        <w:t xml:space="preserve"> Samas </w:t>
      </w:r>
      <w:r w:rsidR="00653761" w:rsidRPr="00782EE0">
        <w:rPr>
          <w:b/>
          <w:bCs/>
        </w:rPr>
        <w:t>põhiseadusliku kohtuorganina</w:t>
      </w:r>
      <w:r w:rsidR="00653761">
        <w:t xml:space="preserve"> nimetab põhiseadus üksnes Riigikohut.</w:t>
      </w:r>
      <w:r w:rsidR="00653761">
        <w:rPr>
          <w:rStyle w:val="Allmrkuseviide"/>
        </w:rPr>
        <w:footnoteReference w:id="28"/>
      </w:r>
      <w:r w:rsidR="00653761">
        <w:t xml:space="preserve"> Põhiseadus I ja II astme kohtuorganeid </w:t>
      </w:r>
      <w:r w:rsidR="004C31A3">
        <w:t xml:space="preserve">eraldi </w:t>
      </w:r>
      <w:r w:rsidR="00653761">
        <w:t>ei nimeta.</w:t>
      </w:r>
      <w:r w:rsidR="000C5F5B">
        <w:t xml:space="preserve"> </w:t>
      </w:r>
      <w:r w:rsidR="009F02F9">
        <w:t>Viimati nimetatud juhul on t</w:t>
      </w:r>
      <w:r w:rsidR="000C5F5B">
        <w:t>egemist kohtukorraldust puudutava küsimusega ja need kohtuorganid tuleb seadusandjal seadusega luua</w:t>
      </w:r>
      <w:r w:rsidR="004C31A3">
        <w:t xml:space="preserve"> (PS § 104 lg 2 p 14 ja § 149 lg 4). </w:t>
      </w:r>
      <w:r w:rsidR="00BE1C0A">
        <w:t>K</w:t>
      </w:r>
      <w:r w:rsidR="008B2415">
        <w:t xml:space="preserve">ohtuorganite loomisel on seadusandja seotud põhiseaduses </w:t>
      </w:r>
      <w:r w:rsidR="004C31A3">
        <w:t xml:space="preserve">sätestatud nii kohtuorganisatsioonile seatud </w:t>
      </w:r>
      <w:r w:rsidR="009F02F9">
        <w:t>piir</w:t>
      </w:r>
      <w:r w:rsidR="008B2415">
        <w:t>idega</w:t>
      </w:r>
      <w:r w:rsidR="000C5F5B">
        <w:t xml:space="preserve"> </w:t>
      </w:r>
      <w:r w:rsidR="004C31A3">
        <w:t>(nt PS § 146 esimene lause, § 148 ja § 149) kui ka põhiõigustest tuleneva</w:t>
      </w:r>
      <w:r w:rsidR="008B2415">
        <w:t>te</w:t>
      </w:r>
      <w:r w:rsidR="004C31A3">
        <w:t xml:space="preserve"> kohustus</w:t>
      </w:r>
      <w:r w:rsidR="008B2415">
        <w:t>tega</w:t>
      </w:r>
      <w:r w:rsidR="004C31A3">
        <w:t xml:space="preserve"> (nt PS § 15 </w:t>
      </w:r>
      <w:proofErr w:type="spellStart"/>
      <w:r w:rsidR="004C31A3">
        <w:t>lg-st</w:t>
      </w:r>
      <w:proofErr w:type="spellEnd"/>
      <w:r w:rsidR="004C31A3">
        <w:t xml:space="preserve"> 1 tulenev kohustus </w:t>
      </w:r>
      <w:r w:rsidR="004C31A3" w:rsidRPr="008249C1">
        <w:t>kindlusta</w:t>
      </w:r>
      <w:r w:rsidR="004C31A3">
        <w:t>da</w:t>
      </w:r>
      <w:r w:rsidR="004C31A3" w:rsidRPr="008249C1">
        <w:t xml:space="preserve"> igaühele õigusemõistmise kättesaadavus ebamõistlike pingutusteta</w:t>
      </w:r>
      <w:r w:rsidR="004C31A3">
        <w:t xml:space="preserve"> ja</w:t>
      </w:r>
      <w:r w:rsidR="00F34AB7">
        <w:t xml:space="preserve"> PS §</w:t>
      </w:r>
      <w:r w:rsidR="00DB558B">
        <w:t>-st</w:t>
      </w:r>
      <w:r w:rsidR="00F34AB7">
        <w:t xml:space="preserve"> 12 ja § 15 </w:t>
      </w:r>
      <w:proofErr w:type="spellStart"/>
      <w:r w:rsidR="00F34AB7">
        <w:t>lg-st</w:t>
      </w:r>
      <w:proofErr w:type="spellEnd"/>
      <w:r w:rsidR="00F34AB7">
        <w:t xml:space="preserve"> 1 tulenev </w:t>
      </w:r>
      <w:r w:rsidR="00F34AB7" w:rsidRPr="00AF5A7C">
        <w:t>p</w:t>
      </w:r>
      <w:r w:rsidR="009E5438" w:rsidRPr="00AF5A7C">
        <w:t>õhi</w:t>
      </w:r>
      <w:r w:rsidR="00F34AB7" w:rsidRPr="00AF5A7C">
        <w:t>õ</w:t>
      </w:r>
      <w:r w:rsidR="00F34AB7" w:rsidRPr="00F34AB7">
        <w:t>igus võrdsele juurdepääsule õigusemõistmisele ning</w:t>
      </w:r>
      <w:r w:rsidR="004C31A3">
        <w:t xml:space="preserve"> PS § 24 </w:t>
      </w:r>
      <w:proofErr w:type="spellStart"/>
      <w:r w:rsidR="004C31A3">
        <w:t>lg-st</w:t>
      </w:r>
      <w:proofErr w:type="spellEnd"/>
      <w:r w:rsidR="004C31A3">
        <w:t xml:space="preserve"> 2 tulenev kohustus tagada isikule õigus viibida oma kohtuasja arutamise juures</w:t>
      </w:r>
      <w:r w:rsidR="008B2415">
        <w:t>)</w:t>
      </w:r>
      <w:r w:rsidR="000C5F5B">
        <w:t>.</w:t>
      </w:r>
      <w:r w:rsidR="00CA5891">
        <w:rPr>
          <w:rStyle w:val="Allmrkuseviide"/>
        </w:rPr>
        <w:footnoteReference w:id="29"/>
      </w:r>
    </w:p>
    <w:p w14:paraId="57D0810C" w14:textId="4A9B2DF9" w:rsidR="009A7BA2" w:rsidRDefault="00C338D9" w:rsidP="00782EE0">
      <w:pPr>
        <w:pStyle w:val="Loendilik"/>
        <w:numPr>
          <w:ilvl w:val="0"/>
          <w:numId w:val="3"/>
        </w:numPr>
        <w:jc w:val="both"/>
      </w:pPr>
      <w:r>
        <w:t>Põhiseadus ei kasuta apellatsioonikohtu oskussõn</w:t>
      </w:r>
      <w:r w:rsidR="00E9519D">
        <w:t>a</w:t>
      </w:r>
      <w:r>
        <w:t xml:space="preserve">. </w:t>
      </w:r>
      <w:r w:rsidR="0078153E">
        <w:t>Põhiseaduse § 148 lg 1</w:t>
      </w:r>
      <w:r w:rsidR="00A6783E">
        <w:t xml:space="preserve"> </w:t>
      </w:r>
      <w:r w:rsidR="0078153E">
        <w:t>p-s 2 ja §</w:t>
      </w:r>
      <w:r w:rsidR="009E5438">
        <w:t> </w:t>
      </w:r>
      <w:r w:rsidR="0078153E">
        <w:t xml:space="preserve">149 </w:t>
      </w:r>
      <w:proofErr w:type="spellStart"/>
      <w:r w:rsidR="0078153E">
        <w:t>lg-s</w:t>
      </w:r>
      <w:proofErr w:type="spellEnd"/>
      <w:r w:rsidR="0078153E">
        <w:t xml:space="preserve"> 2 on ringkonnakoh</w:t>
      </w:r>
      <w:r w:rsidR="00E9519D">
        <w:t>us</w:t>
      </w:r>
      <w:r w:rsidR="0078153E">
        <w:t xml:space="preserve"> märgitud mitmuses</w:t>
      </w:r>
      <w:r w:rsidR="00A6783E">
        <w:t>, mitte ainsuses</w:t>
      </w:r>
      <w:r w:rsidR="007F296A">
        <w:t xml:space="preserve"> (lingvistiline argument)</w:t>
      </w:r>
      <w:r w:rsidR="0078153E">
        <w:t>.</w:t>
      </w:r>
      <w:r>
        <w:t xml:space="preserve"> Teiseks sisaldab oskussõna ringkonnakohus </w:t>
      </w:r>
      <w:r w:rsidR="00E9519D">
        <w:t xml:space="preserve">eraldi </w:t>
      </w:r>
      <w:r>
        <w:t>mõistet ringkond, mida saab mõista kui haldusüksust, maa-ala või teatud territoriaalset üksust</w:t>
      </w:r>
      <w:r w:rsidR="007F296A">
        <w:t xml:space="preserve"> (</w:t>
      </w:r>
      <w:proofErr w:type="spellStart"/>
      <w:r w:rsidR="007F296A">
        <w:t>lingivistiline</w:t>
      </w:r>
      <w:proofErr w:type="spellEnd"/>
      <w:r w:rsidR="007F296A">
        <w:t xml:space="preserve"> argument)</w:t>
      </w:r>
      <w:r>
        <w:t>.</w:t>
      </w:r>
      <w:r>
        <w:rPr>
          <w:rStyle w:val="Allmrkuseviide"/>
        </w:rPr>
        <w:footnoteReference w:id="30"/>
      </w:r>
      <w:r>
        <w:t xml:space="preserve"> Mitmuse ja ringkonna mõiste kasutamine viitavad sellele, et teise astme kohtu võimkond ehk territoriaalne pädevus ei saa hõlmata kogu Eesti territooriumi, vaid üksnes ühte osa </w:t>
      </w:r>
      <w:r>
        <w:lastRenderedPageBreak/>
        <w:t xml:space="preserve">sellest. </w:t>
      </w:r>
      <w:r w:rsidR="009A7BA2">
        <w:t xml:space="preserve">Põhiseaduse </w:t>
      </w:r>
      <w:r w:rsidR="007F296A">
        <w:t xml:space="preserve">sõnastusest </w:t>
      </w:r>
      <w:r w:rsidR="007E476A">
        <w:t xml:space="preserve">võib </w:t>
      </w:r>
      <w:r w:rsidR="007F296A">
        <w:t>järeld</w:t>
      </w:r>
      <w:r w:rsidR="007E476A">
        <w:t>ada,</w:t>
      </w:r>
      <w:r w:rsidR="007F296A">
        <w:t xml:space="preserve"> et</w:t>
      </w:r>
      <w:r w:rsidR="009A7BA2">
        <w:t xml:space="preserve"> üksnes Riigikohtul</w:t>
      </w:r>
      <w:r w:rsidR="007F296A">
        <w:t xml:space="preserve"> on</w:t>
      </w:r>
      <w:r w:rsidR="009A7BA2">
        <w:t xml:space="preserve"> võimkond üle kogu Eesti Vabariigi</w:t>
      </w:r>
      <w:r w:rsidR="007E476A">
        <w:t xml:space="preserve"> territooriumi</w:t>
      </w:r>
      <w:r w:rsidR="009A7BA2">
        <w:t xml:space="preserve">. </w:t>
      </w:r>
      <w:r w:rsidR="00E9519D">
        <w:t>Nimetatud lähenemine vastab nn püramiidskeemi mudelile, kus madalama astme kohtuid on rohkem kui üks</w:t>
      </w:r>
      <w:r w:rsidR="007F296A">
        <w:t xml:space="preserve"> (</w:t>
      </w:r>
      <w:proofErr w:type="spellStart"/>
      <w:r w:rsidR="007F296A">
        <w:t>mõistelis</w:t>
      </w:r>
      <w:proofErr w:type="spellEnd"/>
      <w:r w:rsidR="007F296A">
        <w:t>-süstemaatiline argument)</w:t>
      </w:r>
      <w:r w:rsidR="00E9519D">
        <w:t xml:space="preserve">. </w:t>
      </w:r>
      <w:r w:rsidR="009A7BA2">
        <w:t xml:space="preserve">Kui </w:t>
      </w:r>
      <w:r w:rsidR="007E476A">
        <w:t xml:space="preserve">maakohtu ja </w:t>
      </w:r>
      <w:r w:rsidR="009A7BA2">
        <w:t>ringkonnakohtu võimkond ei saa ulatuda üle kogu Eesti Vabariigi territooriumi, siis tähendab see, et</w:t>
      </w:r>
      <w:r w:rsidR="007E476A">
        <w:t xml:space="preserve"> PS § 148 lg 1 p-de 1 ja 2 mõttes ei tohi olla </w:t>
      </w:r>
      <w:r w:rsidR="009A7BA2">
        <w:t xml:space="preserve">vähem kui </w:t>
      </w:r>
      <w:r w:rsidR="007E476A">
        <w:t xml:space="preserve">kaks maakohut ja </w:t>
      </w:r>
      <w:r w:rsidR="009A7BA2">
        <w:t>kaks ringkonnakohut.</w:t>
      </w:r>
    </w:p>
    <w:p w14:paraId="76122A02" w14:textId="77777777" w:rsidR="0070657A" w:rsidRDefault="00F34AB7" w:rsidP="00782EE0">
      <w:pPr>
        <w:pStyle w:val="Loendilik"/>
        <w:numPr>
          <w:ilvl w:val="0"/>
          <w:numId w:val="3"/>
        </w:numPr>
        <w:jc w:val="both"/>
      </w:pPr>
      <w:r>
        <w:t>Põhiseaduses Riigikohtule kassatsioonikohtu ülesannete andmine toetab tõlgendust, et ringkonnakohtuid kohtuorganitena oleks vähemalt kaks (</w:t>
      </w:r>
      <w:proofErr w:type="spellStart"/>
      <w:r>
        <w:t>mõistelis</w:t>
      </w:r>
      <w:proofErr w:type="spellEnd"/>
      <w:r>
        <w:t xml:space="preserve">-süstemaatiline argument). Riigikohtu kui kassatsioonikohtu üheks ülesandeks on erinevate kohtute praktika ühtlustamine (vt HKMS § 219 lg 3 p 2; </w:t>
      </w:r>
      <w:proofErr w:type="spellStart"/>
      <w:r>
        <w:t>TsMS</w:t>
      </w:r>
      <w:proofErr w:type="spellEnd"/>
      <w:r>
        <w:t xml:space="preserve"> § 679 lg 3 p 3; </w:t>
      </w:r>
      <w:proofErr w:type="spellStart"/>
      <w:r>
        <w:t>KrMS</w:t>
      </w:r>
      <w:proofErr w:type="spellEnd"/>
      <w:r>
        <w:t xml:space="preserve"> § 349 lg 3 p 2).</w:t>
      </w:r>
      <w:r>
        <w:rPr>
          <w:rStyle w:val="Allmrkuseviide"/>
        </w:rPr>
        <w:footnoteReference w:id="31"/>
      </w:r>
      <w:r>
        <w:t xml:space="preserve"> Üks I ja/või II astme kohtuorgan ei pruugi õigusemõistmise taset tervikuna tõsta, sest selle kaudu kõrvaldatakse sarnastes asjades lahendite võimalik erisus kui kohtupraktika oluline arenguallikas.</w:t>
      </w:r>
      <w:r>
        <w:rPr>
          <w:rStyle w:val="Allmrkuseviide"/>
        </w:rPr>
        <w:footnoteReference w:id="32"/>
      </w:r>
      <w:r>
        <w:t xml:space="preserve"> Viimati märgituga on soovitud öelda seda, et kahe kohtu erinev praktika õigusküsimuses on viimases kohtuastmes asja menetlusse võtmise aluseks ja seeläbi on kõrgem kohus sunnitud probleemiga tegelema ning sellel</w:t>
      </w:r>
      <w:r w:rsidR="009E5438">
        <w:t>e</w:t>
      </w:r>
      <w:r>
        <w:t xml:space="preserve"> lahendust otsima. </w:t>
      </w:r>
    </w:p>
    <w:p w14:paraId="2C33FE3F" w14:textId="2EC2592C" w:rsidR="00F34AB7" w:rsidRDefault="00F34AB7" w:rsidP="00782EE0">
      <w:pPr>
        <w:pStyle w:val="Loendilik"/>
        <w:numPr>
          <w:ilvl w:val="0"/>
          <w:numId w:val="3"/>
        </w:numPr>
        <w:jc w:val="both"/>
      </w:pPr>
      <w:r>
        <w:t>Kui loobuda kohtusüsteemi osas püramiidskeemist, siis oleks sellel kaugemale ulatuvad tagajärjed. Kui luua üks II astme kohtuorgan, siis puuduks sisuline õigustus selleks, miks on tarvis kassatsiooni kohtuastet. Ühe II astme kohtuorgani puhul on võimalik madalama astme kohtute praktika ühtlustamise funktsioon anda II astme ehk apellatsioonikohtule, kes siis vajadusel ühtlustaks I astme kohtpraktikat kas siis laiendatud koosseisu, kolleegiumi või kohtu üldkogu tasemel.</w:t>
      </w:r>
      <w:r w:rsidR="0070657A">
        <w:t xml:space="preserve"> Põhiseadus ega rahvusvaheline õigus ei nõua kahekordset edasikaebevõimalust. Sellega</w:t>
      </w:r>
      <w:r w:rsidR="006B22FD">
        <w:t xml:space="preserve"> on võimalik</w:t>
      </w:r>
      <w:r w:rsidR="0070657A">
        <w:t xml:space="preserve"> avada diskussioon PS § 149 lg 3 muutmiseks.</w:t>
      </w:r>
    </w:p>
    <w:p w14:paraId="0081E85F" w14:textId="2ED9E063" w:rsidR="00F34AB7" w:rsidRDefault="00F34AB7" w:rsidP="00782EE0">
      <w:pPr>
        <w:pStyle w:val="Loendilik"/>
        <w:numPr>
          <w:ilvl w:val="0"/>
          <w:numId w:val="3"/>
        </w:numPr>
        <w:jc w:val="both"/>
      </w:pPr>
      <w:r w:rsidRPr="004C1FE5">
        <w:t xml:space="preserve">Analüüsides PS § 148 </w:t>
      </w:r>
      <w:proofErr w:type="spellStart"/>
      <w:r w:rsidRPr="004C1FE5">
        <w:t>lg-t</w:t>
      </w:r>
      <w:proofErr w:type="spellEnd"/>
      <w:r w:rsidRPr="004C1FE5">
        <w:t xml:space="preserve"> 1 koos §-ga 12</w:t>
      </w:r>
      <w:r w:rsidR="00DB558B" w:rsidRPr="004C1FE5">
        <w:t xml:space="preserve">, § 15 </w:t>
      </w:r>
      <w:proofErr w:type="spellStart"/>
      <w:r w:rsidR="00DB558B" w:rsidRPr="004C1FE5">
        <w:t>lg-ga</w:t>
      </w:r>
      <w:proofErr w:type="spellEnd"/>
      <w:r w:rsidR="00DB558B" w:rsidRPr="004C1FE5">
        <w:t xml:space="preserve"> 1 ning § 24 </w:t>
      </w:r>
      <w:proofErr w:type="spellStart"/>
      <w:r w:rsidR="00DB558B" w:rsidRPr="004C1FE5">
        <w:t>lg-ga</w:t>
      </w:r>
      <w:proofErr w:type="spellEnd"/>
      <w:r w:rsidR="00DB558B" w:rsidRPr="004C1FE5">
        <w:t xml:space="preserve"> 2, siis on põhiõigus</w:t>
      </w:r>
      <w:r w:rsidR="004C1FE5" w:rsidRPr="004C1FE5">
        <w:t>e</w:t>
      </w:r>
      <w:r w:rsidR="00DB558B" w:rsidRPr="004C1FE5">
        <w:t xml:space="preserve"> võrdsele juurdepääsule õigusemõistmisele, õigusemõistmise kättesaadavuse</w:t>
      </w:r>
      <w:r w:rsidR="004C1FE5" w:rsidRPr="004C1FE5">
        <w:t>le</w:t>
      </w:r>
      <w:r w:rsidR="00DB558B" w:rsidRPr="004C1FE5">
        <w:t xml:space="preserve"> ebamõistlike pingutusteta ja viibida oma asja arutamise juures riive väiksem, kui Eestis on rohkem kui ainult üks maa- ja halduskohus ning ringkonnakohus.</w:t>
      </w:r>
    </w:p>
    <w:p w14:paraId="27BA81F1" w14:textId="14AC16CE" w:rsidR="00DB558B" w:rsidRDefault="00DB558B" w:rsidP="00DF6A3B">
      <w:pPr>
        <w:pStyle w:val="Loendilik"/>
        <w:numPr>
          <w:ilvl w:val="0"/>
          <w:numId w:val="3"/>
        </w:numPr>
        <w:jc w:val="both"/>
      </w:pPr>
      <w:r>
        <w:t>K</w:t>
      </w:r>
      <w:r w:rsidR="004C1FE5">
        <w:t xml:space="preserve">üsida võib, kas eespool mainitud põhiõigusi on võimalik tagada ka seeläbi, kui </w:t>
      </w:r>
      <w:r>
        <w:t xml:space="preserve">luua üks I ja II astme kohtuorgan, millel oleks Eesti erinevates piirkondades kohtumajad? </w:t>
      </w:r>
      <w:r w:rsidR="004C1FE5">
        <w:t xml:space="preserve">Esiteks mõeldakse </w:t>
      </w:r>
      <w:r>
        <w:t xml:space="preserve">PS § 148 lg 1 p-des 1 ja 2 I ja II astme kohtutest, mis viitab organisatsioonilises tähenduses kohtutele, mitte kohtumajadele kui kohtuorgani </w:t>
      </w:r>
      <w:proofErr w:type="spellStart"/>
      <w:r w:rsidRPr="004F4F28">
        <w:t>allstruktuuriüksus</w:t>
      </w:r>
      <w:r w:rsidR="004F4F28" w:rsidRPr="004F4F28">
        <w:t>t</w:t>
      </w:r>
      <w:r w:rsidRPr="004F4F28">
        <w:t>ele</w:t>
      </w:r>
      <w:proofErr w:type="spellEnd"/>
      <w:r w:rsidRPr="004F4F28">
        <w:t xml:space="preserve">. </w:t>
      </w:r>
      <w:r w:rsidR="003D484C">
        <w:t>Normi on võimalik mõista selliselt, et sellega kaitstakse kohtusüsteemi struktuuri tuuma, mida seadusega ei saa asuda muutma</w:t>
      </w:r>
      <w:r w:rsidR="00DF6A3B">
        <w:t xml:space="preserve"> (võimalike kaalutluste kohta vt </w:t>
      </w:r>
      <w:proofErr w:type="spellStart"/>
      <w:r w:rsidR="00DF6A3B">
        <w:t>p-i</w:t>
      </w:r>
      <w:proofErr w:type="spellEnd"/>
      <w:r w:rsidR="00DF6A3B">
        <w:t xml:space="preserve"> 34)</w:t>
      </w:r>
      <w:r w:rsidR="003D484C">
        <w:t xml:space="preserve">. </w:t>
      </w:r>
      <w:r w:rsidR="004C1FE5">
        <w:t>Teiseks, k</w:t>
      </w:r>
      <w:r w:rsidRPr="004F4F28">
        <w:t>ui</w:t>
      </w:r>
      <w:r>
        <w:t xml:space="preserve"> riigis oleks organisatsiooni mõttes üks kohus mitme kohtumajaga (nn </w:t>
      </w:r>
      <w:r w:rsidRPr="00782EE0">
        <w:rPr>
          <w:b/>
          <w:bCs/>
        </w:rPr>
        <w:t>kohtumajade mudel</w:t>
      </w:r>
      <w:r>
        <w:t xml:space="preserve">), otsustaks seadusandja asemel kohtuesimees ja justiitsminister sisuliselt kohtukorralduse ning </w:t>
      </w:r>
      <w:r w:rsidRPr="00B55E88">
        <w:t xml:space="preserve">PS </w:t>
      </w:r>
      <w:r>
        <w:t>§-st 12</w:t>
      </w:r>
      <w:r w:rsidR="004C1FE5">
        <w:t>,</w:t>
      </w:r>
      <w:r>
        <w:t xml:space="preserve"> </w:t>
      </w:r>
      <w:r w:rsidRPr="00B55E88">
        <w:t xml:space="preserve">§ 15 </w:t>
      </w:r>
      <w:proofErr w:type="spellStart"/>
      <w:r w:rsidRPr="00B55E88">
        <w:t>lg-st</w:t>
      </w:r>
      <w:proofErr w:type="spellEnd"/>
      <w:r w:rsidRPr="00B55E88">
        <w:t xml:space="preserve"> 1 </w:t>
      </w:r>
      <w:r w:rsidR="00E36E4E">
        <w:t>ning</w:t>
      </w:r>
      <w:r w:rsidRPr="00B55E88">
        <w:t xml:space="preserve"> PS § 24 lg-</w:t>
      </w:r>
      <w:r w:rsidR="004C1FE5">
        <w:t>te</w:t>
      </w:r>
      <w:r w:rsidRPr="00B55E88">
        <w:t>st</w:t>
      </w:r>
      <w:r w:rsidR="004C1FE5">
        <w:t xml:space="preserve"> 1 ja</w:t>
      </w:r>
      <w:r w:rsidRPr="00B55E88">
        <w:t xml:space="preserve"> 2 tulenev</w:t>
      </w:r>
      <w:r>
        <w:t>a</w:t>
      </w:r>
      <w:r w:rsidR="004C1FE5">
        <w:t>te</w:t>
      </w:r>
      <w:r>
        <w:t xml:space="preserve"> </w:t>
      </w:r>
      <w:r w:rsidR="004C1FE5">
        <w:t>põhi</w:t>
      </w:r>
      <w:r>
        <w:t>õigus</w:t>
      </w:r>
      <w:r w:rsidR="004C1FE5">
        <w:t>t</w:t>
      </w:r>
      <w:r>
        <w:t>e üle. Ühe kohtuorgani puhul saaksid kohtute esimees ja justiitsminister koondada oma otsustega kogu kohtu võimkonna ühe kohtumaja kätte</w:t>
      </w:r>
      <w:r w:rsidR="004C1FE5">
        <w:t xml:space="preserve"> (viia läbi tsentraliseerimise)</w:t>
      </w:r>
      <w:r>
        <w:t xml:space="preserve"> ja seeläbi omistada ühele kohtuorganile ühes kohtumajas kogu õigusemõistmise võimupädevuse (vt </w:t>
      </w:r>
      <w:r w:rsidRPr="00CF74AD">
        <w:t xml:space="preserve">KS </w:t>
      </w:r>
      <w:r>
        <w:t xml:space="preserve">§ 9 lg 3, </w:t>
      </w:r>
      <w:r w:rsidRPr="00CF74AD">
        <w:t>§ 12 lg 3 p-d 1, 3 ja 3</w:t>
      </w:r>
      <w:r w:rsidRPr="00782EE0">
        <w:rPr>
          <w:vertAlign w:val="superscript"/>
        </w:rPr>
        <w:t>1</w:t>
      </w:r>
      <w:r w:rsidRPr="00CF74AD">
        <w:t xml:space="preserve">, </w:t>
      </w:r>
      <w:r>
        <w:t>§ 18 lg 3,</w:t>
      </w:r>
      <w:r w:rsidRPr="001371C4">
        <w:t xml:space="preserve"> </w:t>
      </w:r>
      <w:r>
        <w:t xml:space="preserve">§ 22 lg 6, </w:t>
      </w:r>
      <w:r w:rsidRPr="00CF74AD">
        <w:lastRenderedPageBreak/>
        <w:t>§ 37 lg 1 ja § 57 lg 11 p 4</w:t>
      </w:r>
      <w:r>
        <w:t xml:space="preserve">; justiitsministri 27. oktoobri 2005. a määrus nr 46 „Maa- ja halduskohtute kohtumajade ning ringkonnakohtute asukohad“; </w:t>
      </w:r>
      <w:r w:rsidRPr="00CF74AD">
        <w:t xml:space="preserve">praktikas </w:t>
      </w:r>
      <w:r>
        <w:t>koostab kohtu</w:t>
      </w:r>
      <w:r w:rsidRPr="00CF74AD">
        <w:t xml:space="preserve"> tööjaotusplaani eelnõu kohtuesimees</w:t>
      </w:r>
      <w:r>
        <w:t xml:space="preserve">). </w:t>
      </w:r>
      <w:r w:rsidR="00171F8F">
        <w:t>Kavandatava eelnõu kohaselt otsusta</w:t>
      </w:r>
      <w:r w:rsidR="005F130D">
        <w:t>k</w:t>
      </w:r>
      <w:r w:rsidR="00171F8F">
        <w:t>s kohtute haldus- ja arendusnõukogu selle, kas kohtul on üks või mitu kohtumaja ja selle asukoha. Kohtu esimees kinnitaks kohtu koosseisu ja määraks kohtuniku alalise teenistuskoha. Kui riigis oleks ainult üks I ja II astme koh</w:t>
      </w:r>
      <w:r w:rsidR="00DF6A3B">
        <w:t>tuorgan</w:t>
      </w:r>
      <w:r w:rsidR="00171F8F">
        <w:t xml:space="preserve"> mitme kohtumajaga, </w:t>
      </w:r>
      <w:r w:rsidR="00DF6A3B">
        <w:t xml:space="preserve">kohtu esimehe ja justiitsministri või kohtute haldus- ja arenduskõukogu hilisemate otsustega </w:t>
      </w:r>
      <w:r w:rsidR="00171F8F">
        <w:t>kogu kohtuorganisatsiooni tsentraliseerimine riigi ühte osasse</w:t>
      </w:r>
      <w:r>
        <w:t xml:space="preserve"> ei </w:t>
      </w:r>
      <w:r w:rsidR="00171F8F">
        <w:t>vastaks</w:t>
      </w:r>
      <w:r>
        <w:t xml:space="preserve"> PS § 148 mõtte</w:t>
      </w:r>
      <w:r w:rsidR="00171F8F">
        <w:t>le</w:t>
      </w:r>
      <w:r>
        <w:t xml:space="preserve"> ega põhimõttele, et Riigikogu otsustab olulised</w:t>
      </w:r>
      <w:r w:rsidR="00DF6A3B">
        <w:t xml:space="preserve"> (s.o </w:t>
      </w:r>
      <w:r>
        <w:t>kohtukorraldust ja põhiõiguste riiveid puudutavad</w:t>
      </w:r>
      <w:r w:rsidR="00DF6A3B">
        <w:t xml:space="preserve">) </w:t>
      </w:r>
      <w:r>
        <w:t xml:space="preserve">küsimused </w:t>
      </w:r>
      <w:r w:rsidR="00DF6A3B">
        <w:t xml:space="preserve">seadusega </w:t>
      </w:r>
      <w:r>
        <w:t xml:space="preserve">(PS § 3 lg 1 ja § 104 lg 2 p 14; vrd </w:t>
      </w:r>
      <w:proofErr w:type="spellStart"/>
      <w:r>
        <w:t>RKÜKo</w:t>
      </w:r>
      <w:proofErr w:type="spellEnd"/>
      <w:r>
        <w:t xml:space="preserve"> 26. juuni 2014, 3-2-1-153-13, p-d 71–76)</w:t>
      </w:r>
      <w:r w:rsidR="004C1FE5">
        <w:t xml:space="preserve"> (</w:t>
      </w:r>
      <w:proofErr w:type="spellStart"/>
      <w:r w:rsidR="004C1FE5">
        <w:t>mõistelis</w:t>
      </w:r>
      <w:proofErr w:type="spellEnd"/>
      <w:r w:rsidR="004C1FE5">
        <w:t>-süstemaatiline</w:t>
      </w:r>
      <w:r w:rsidR="00DF6A3B">
        <w:t xml:space="preserve"> ja </w:t>
      </w:r>
      <w:proofErr w:type="spellStart"/>
      <w:r w:rsidR="00DF6A3B">
        <w:t>prejuditsiaalne</w:t>
      </w:r>
      <w:proofErr w:type="spellEnd"/>
      <w:r w:rsidR="004C1FE5">
        <w:t xml:space="preserve"> argument)</w:t>
      </w:r>
      <w:r>
        <w:t>.</w:t>
      </w:r>
    </w:p>
    <w:p w14:paraId="694F992C" w14:textId="4843AA95" w:rsidR="00E9519D" w:rsidRDefault="00E36E4E" w:rsidP="00782EE0">
      <w:pPr>
        <w:pStyle w:val="Loendilik"/>
        <w:numPr>
          <w:ilvl w:val="0"/>
          <w:numId w:val="3"/>
        </w:numPr>
        <w:jc w:val="both"/>
      </w:pPr>
      <w:r>
        <w:t>Tõlgenduse</w:t>
      </w:r>
      <w:r w:rsidR="007E476A">
        <w:t xml:space="preserve"> kasuks</w:t>
      </w:r>
      <w:r>
        <w:t>, et PS § 148 lg 1 p-s 2 mõeldakse rohkem kui ühte ringkonnakohut,</w:t>
      </w:r>
      <w:r w:rsidR="007E476A">
        <w:t xml:space="preserve"> räägib ka</w:t>
      </w:r>
      <w:r w:rsidR="00E9519D" w:rsidRPr="00E9519D">
        <w:t xml:space="preserve"> PS § 148 kujunemislugu</w:t>
      </w:r>
      <w:r w:rsidR="007F296A">
        <w:t xml:space="preserve"> (geneetiline ja ajalooline argument)</w:t>
      </w:r>
      <w:r w:rsidR="00B23E32">
        <w:t>.</w:t>
      </w:r>
      <w:r w:rsidR="00E9519D" w:rsidRPr="00E9519D">
        <w:t xml:space="preserve"> 1991. a</w:t>
      </w:r>
      <w:r w:rsidR="00B23E32">
        <w:t>-l võeti</w:t>
      </w:r>
      <w:r w:rsidR="00E9519D" w:rsidRPr="00E9519D">
        <w:t xml:space="preserve"> kohtute seaduse koostamisel ringkonnakohtute loomise</w:t>
      </w:r>
      <w:r w:rsidR="00B23E32">
        <w:t>l</w:t>
      </w:r>
      <w:r w:rsidR="00E9519D" w:rsidRPr="00E9519D">
        <w:t xml:space="preserve"> eeskujuks 1938. a kohtute seadustik, mis nägi Eesti Vabariigis ette neli eraldi ringkonnakohut oma võimkonna ehk territoriaalse pädevusega. Ka tsaariajal mõisteti ringkonnakohtu võimkonda selliselt, et see ulatus üksnes osale riigi territooriumist.</w:t>
      </w:r>
    </w:p>
    <w:p w14:paraId="50AAED7A" w14:textId="55649701" w:rsidR="00782EE0" w:rsidRDefault="00D2527C" w:rsidP="00782EE0">
      <w:pPr>
        <w:pStyle w:val="Loendilik"/>
        <w:numPr>
          <w:ilvl w:val="0"/>
          <w:numId w:val="3"/>
        </w:numPr>
        <w:jc w:val="both"/>
      </w:pPr>
      <w:r>
        <w:t>Kui PS § 148 lg 1 p-s 2 mõeldakse</w:t>
      </w:r>
      <w:r w:rsidR="00EC1027">
        <w:t xml:space="preserve"> vähemalt kahte </w:t>
      </w:r>
      <w:r>
        <w:t>ringkonnakohu</w:t>
      </w:r>
      <w:r w:rsidR="00EC1027">
        <w:t>t</w:t>
      </w:r>
      <w:r>
        <w:t>, siis ei ole loogiline, et I astme kohtuid oleks kohtuorganisatsiooni mõttes üks.</w:t>
      </w:r>
    </w:p>
    <w:p w14:paraId="5676BDB9" w14:textId="77777777" w:rsidR="00782EE0" w:rsidRDefault="00782EE0" w:rsidP="00782EE0">
      <w:pPr>
        <w:pStyle w:val="Loendilik"/>
        <w:jc w:val="both"/>
      </w:pPr>
    </w:p>
    <w:p w14:paraId="28316DF8" w14:textId="7DDDA0A5" w:rsidR="00782EE0" w:rsidRPr="00782EE0" w:rsidRDefault="00782EE0" w:rsidP="00782EE0">
      <w:pPr>
        <w:pStyle w:val="Pealkiri1"/>
        <w:spacing w:before="0" w:after="160"/>
        <w:jc w:val="center"/>
        <w:rPr>
          <w:rFonts w:asciiTheme="minorHAnsi" w:hAnsiTheme="minorHAnsi"/>
          <w:b/>
          <w:bCs/>
          <w:color w:val="auto"/>
          <w:sz w:val="22"/>
          <w:szCs w:val="22"/>
        </w:rPr>
      </w:pPr>
      <w:bookmarkStart w:id="46" w:name="_Toc183355301"/>
      <w:bookmarkStart w:id="47" w:name="_Toc183355436"/>
      <w:bookmarkStart w:id="48" w:name="_Toc183355765"/>
      <w:bookmarkStart w:id="49" w:name="_Toc183436495"/>
      <w:r w:rsidRPr="00C44E0D">
        <w:rPr>
          <w:rFonts w:asciiTheme="minorHAnsi" w:hAnsiTheme="minorHAnsi"/>
          <w:b/>
          <w:bCs/>
          <w:color w:val="auto"/>
          <w:sz w:val="22"/>
          <w:szCs w:val="22"/>
        </w:rPr>
        <w:t>V</w:t>
      </w:r>
      <w:r w:rsidR="00341913">
        <w:rPr>
          <w:rFonts w:asciiTheme="minorHAnsi" w:hAnsiTheme="minorHAnsi"/>
          <w:b/>
          <w:bCs/>
          <w:color w:val="auto"/>
          <w:sz w:val="22"/>
          <w:szCs w:val="22"/>
        </w:rPr>
        <w:t>I</w:t>
      </w:r>
      <w:r w:rsidRPr="00C44E0D">
        <w:rPr>
          <w:rFonts w:asciiTheme="minorHAnsi" w:hAnsiTheme="minorHAnsi"/>
          <w:b/>
          <w:bCs/>
          <w:color w:val="auto"/>
          <w:sz w:val="22"/>
          <w:szCs w:val="22"/>
        </w:rPr>
        <w:t>I</w:t>
      </w:r>
      <w:bookmarkStart w:id="50" w:name="_Toc183355302"/>
      <w:bookmarkStart w:id="51" w:name="_Toc183355437"/>
      <w:bookmarkEnd w:id="46"/>
      <w:bookmarkEnd w:id="47"/>
      <w:r>
        <w:rPr>
          <w:rFonts w:asciiTheme="minorHAnsi" w:hAnsiTheme="minorHAnsi"/>
          <w:b/>
          <w:bCs/>
          <w:color w:val="auto"/>
          <w:sz w:val="22"/>
          <w:szCs w:val="22"/>
        </w:rPr>
        <w:t xml:space="preserve"> </w:t>
      </w:r>
      <w:r w:rsidRPr="00C44E0D">
        <w:rPr>
          <w:rFonts w:asciiTheme="minorHAnsi" w:hAnsiTheme="minorHAnsi"/>
          <w:b/>
          <w:bCs/>
          <w:color w:val="auto"/>
          <w:sz w:val="22"/>
          <w:szCs w:val="22"/>
        </w:rPr>
        <w:t>Järeldus</w:t>
      </w:r>
      <w:bookmarkEnd w:id="48"/>
      <w:bookmarkEnd w:id="49"/>
      <w:bookmarkEnd w:id="50"/>
      <w:bookmarkEnd w:id="51"/>
    </w:p>
    <w:p w14:paraId="056D1D3B" w14:textId="7B3661C7" w:rsidR="0067787A" w:rsidRDefault="006F6A42" w:rsidP="006F6A42">
      <w:pPr>
        <w:pStyle w:val="Loendilik"/>
        <w:numPr>
          <w:ilvl w:val="0"/>
          <w:numId w:val="3"/>
        </w:numPr>
        <w:jc w:val="both"/>
      </w:pPr>
      <w:r>
        <w:t xml:space="preserve">Kui lähtud sellest, et PS § 148 lg 1 p-d 1–2 on reegel, siis </w:t>
      </w:r>
      <w:r w:rsidR="003C746E">
        <w:t>on</w:t>
      </w:r>
      <w:r w:rsidR="0067787A">
        <w:t xml:space="preserve"> tõlgendusargumen</w:t>
      </w:r>
      <w:r w:rsidR="003C746E">
        <w:t>te, mis räägivad</w:t>
      </w:r>
      <w:r w:rsidR="0067787A">
        <w:t xml:space="preserve"> </w:t>
      </w:r>
      <w:r>
        <w:t>s</w:t>
      </w:r>
      <w:r w:rsidR="0067787A">
        <w:t>elle kasuks, et PS § 148 lg 1 p-de</w:t>
      </w:r>
      <w:r w:rsidR="000C6ABA">
        <w:t>s</w:t>
      </w:r>
      <w:r w:rsidR="0067787A">
        <w:t xml:space="preserve"> 1 ja 2</w:t>
      </w:r>
      <w:r w:rsidR="000C6ABA">
        <w:t xml:space="preserve"> on mõeldud rohkemat kui ühte maa- ja halduskohut ning ringkonnakohut.</w:t>
      </w:r>
      <w:r>
        <w:t xml:space="preserve"> See tähendaks keeldu seadusega luua ühte maa-</w:t>
      </w:r>
      <w:r w:rsidR="003C746E">
        <w:t>, ühte</w:t>
      </w:r>
      <w:r>
        <w:t xml:space="preserve"> haldus-</w:t>
      </w:r>
      <w:r w:rsidR="003C746E">
        <w:t xml:space="preserve"> ning ühte</w:t>
      </w:r>
      <w:r>
        <w:t xml:space="preserve"> ringkonnakohut. Selle</w:t>
      </w:r>
      <w:r w:rsidR="003C746E">
        <w:t>st tõlgendusest lähtudes oleks</w:t>
      </w:r>
      <w:r>
        <w:t xml:space="preserve"> tarvis</w:t>
      </w:r>
      <w:r w:rsidR="003C746E">
        <w:t xml:space="preserve"> muuta</w:t>
      </w:r>
      <w:r>
        <w:t xml:space="preserve"> PS § 148 ja § 149, kui seadusandja sooviks seadusega luua ühte maa- ja ühte halduskohut ning ühte ringkonnakohut.</w:t>
      </w:r>
    </w:p>
    <w:p w14:paraId="79EDA6EB" w14:textId="396E6400" w:rsidR="006A67DB" w:rsidRDefault="006F6A42" w:rsidP="00782EE0">
      <w:pPr>
        <w:pStyle w:val="Loendilik"/>
        <w:numPr>
          <w:ilvl w:val="0"/>
          <w:numId w:val="3"/>
        </w:numPr>
        <w:jc w:val="both"/>
      </w:pPr>
      <w:r>
        <w:t xml:space="preserve">Kui lähtuda sellest, et PS § 148 lg 1 p-d 1–2 on printsiip, siis puudub otsene keelunorm seadusega luua ühte maa-, </w:t>
      </w:r>
      <w:r w:rsidR="003C746E">
        <w:t xml:space="preserve">ühte </w:t>
      </w:r>
      <w:r>
        <w:t xml:space="preserve">haldus- </w:t>
      </w:r>
      <w:r w:rsidR="003C746E">
        <w:t>ning ühte</w:t>
      </w:r>
      <w:r>
        <w:t xml:space="preserve"> ringkonnakohut. Sellisel juhul tule</w:t>
      </w:r>
      <w:r w:rsidR="003C746E">
        <w:t>ks</w:t>
      </w:r>
      <w:r>
        <w:t xml:space="preserve"> erinevaid väärtusi kaaluda sarnaselt kohtualluvuse kaasusele. </w:t>
      </w:r>
      <w:r w:rsidR="000C6ABA" w:rsidRPr="00E9519D">
        <w:t xml:space="preserve">Kas </w:t>
      </w:r>
      <w:r w:rsidR="000C6ABA">
        <w:t xml:space="preserve">90-ndate alguses </w:t>
      </w:r>
      <w:r w:rsidR="00833D36">
        <w:t xml:space="preserve">PS § 148 koostamisel </w:t>
      </w:r>
      <w:r w:rsidR="000C6ABA">
        <w:t>lähtutud arusaamast kohtuorganisatsiooni puudutava kohta</w:t>
      </w:r>
      <w:r w:rsidR="000C6ABA" w:rsidRPr="00E9519D">
        <w:t xml:space="preserve"> on põhjendatud lähtuda ka tänapäeval, </w:t>
      </w:r>
      <w:r w:rsidR="000C6ABA">
        <w:t xml:space="preserve">kus tehnilised lahendused on </w:t>
      </w:r>
      <w:r w:rsidR="00283706">
        <w:t>märgatavalt</w:t>
      </w:r>
      <w:r w:rsidR="000C6ABA">
        <w:t xml:space="preserve"> erinevad kui omal ajal, </w:t>
      </w:r>
      <w:r w:rsidR="000C6ABA" w:rsidRPr="00E9519D">
        <w:t xml:space="preserve">siis see on eraldiseisva </w:t>
      </w:r>
      <w:r>
        <w:t>analüüsi</w:t>
      </w:r>
      <w:r w:rsidR="000C6ABA" w:rsidRPr="00E9519D">
        <w:t xml:space="preserve"> küsimus</w:t>
      </w:r>
      <w:r>
        <w:t>, milles tuleks</w:t>
      </w:r>
      <w:r w:rsidR="003C746E">
        <w:t xml:space="preserve"> mh</w:t>
      </w:r>
      <w:r>
        <w:t xml:space="preserve"> arvestada</w:t>
      </w:r>
      <w:r w:rsidR="00833D36">
        <w:t xml:space="preserve"> </w:t>
      </w:r>
      <w:r>
        <w:t xml:space="preserve">iga kohtuharu eraldi, sh </w:t>
      </w:r>
      <w:r w:rsidR="003C746E">
        <w:t xml:space="preserve">seda kohtuharu puudutavaid </w:t>
      </w:r>
      <w:r>
        <w:t>erinevaid faktoreid.</w:t>
      </w:r>
      <w:r>
        <w:rPr>
          <w:rStyle w:val="Allmrkuseviide"/>
        </w:rPr>
        <w:footnoteReference w:id="33"/>
      </w:r>
    </w:p>
    <w:p w14:paraId="1CAA0AEA" w14:textId="77777777" w:rsidR="00261C44" w:rsidRDefault="00261C44" w:rsidP="008848FA">
      <w:pPr>
        <w:jc w:val="both"/>
      </w:pPr>
    </w:p>
    <w:p w14:paraId="01E691C2" w14:textId="77777777" w:rsidR="006F2066" w:rsidRDefault="006F2066" w:rsidP="00F318ED">
      <w:pPr>
        <w:pStyle w:val="Pealkiri1"/>
        <w:rPr>
          <w:rFonts w:asciiTheme="minorHAnsi" w:hAnsiTheme="minorHAnsi"/>
          <w:b/>
          <w:bCs/>
          <w:color w:val="auto"/>
          <w:sz w:val="22"/>
          <w:szCs w:val="22"/>
        </w:rPr>
        <w:sectPr w:rsidR="006F2066">
          <w:footerReference w:type="default" r:id="rId8"/>
          <w:pgSz w:w="11906" w:h="16838"/>
          <w:pgMar w:top="1417" w:right="1417" w:bottom="1417" w:left="1417" w:header="708" w:footer="708" w:gutter="0"/>
          <w:cols w:space="708"/>
          <w:docGrid w:linePitch="360"/>
        </w:sectPr>
      </w:pPr>
      <w:bookmarkStart w:id="52" w:name="_Toc183355766"/>
    </w:p>
    <w:p w14:paraId="20CD5251" w14:textId="324042D5" w:rsidR="006F2066" w:rsidRDefault="00261C44" w:rsidP="006F2066">
      <w:pPr>
        <w:pStyle w:val="Pealkiri1"/>
        <w:rPr>
          <w:rFonts w:asciiTheme="minorHAnsi" w:hAnsiTheme="minorHAnsi"/>
          <w:b/>
          <w:bCs/>
          <w:color w:val="auto"/>
          <w:sz w:val="22"/>
          <w:szCs w:val="22"/>
        </w:rPr>
      </w:pPr>
      <w:bookmarkStart w:id="53" w:name="_Toc183436496"/>
      <w:r w:rsidRPr="00F318ED">
        <w:rPr>
          <w:rFonts w:asciiTheme="minorHAnsi" w:hAnsiTheme="minorHAnsi"/>
          <w:b/>
          <w:bCs/>
          <w:color w:val="auto"/>
          <w:sz w:val="22"/>
          <w:szCs w:val="22"/>
        </w:rPr>
        <w:lastRenderedPageBreak/>
        <w:t xml:space="preserve">Lisa: </w:t>
      </w:r>
      <w:bookmarkStart w:id="54" w:name="_Hlk183354222"/>
      <w:r w:rsidRPr="00F318ED">
        <w:rPr>
          <w:rFonts w:asciiTheme="minorHAnsi" w:hAnsiTheme="minorHAnsi"/>
          <w:b/>
          <w:bCs/>
          <w:color w:val="auto"/>
          <w:sz w:val="22"/>
          <w:szCs w:val="22"/>
        </w:rPr>
        <w:t>Näited teiste riikide kohtu</w:t>
      </w:r>
      <w:bookmarkEnd w:id="54"/>
      <w:r w:rsidR="00761096" w:rsidRPr="00F318ED">
        <w:rPr>
          <w:rFonts w:asciiTheme="minorHAnsi" w:hAnsiTheme="minorHAnsi"/>
          <w:b/>
          <w:bCs/>
          <w:color w:val="auto"/>
          <w:sz w:val="22"/>
          <w:szCs w:val="22"/>
        </w:rPr>
        <w:t>süsteemidest</w:t>
      </w:r>
      <w:bookmarkEnd w:id="52"/>
      <w:bookmarkEnd w:id="53"/>
    </w:p>
    <w:p w14:paraId="4085B2E2" w14:textId="657B84C4" w:rsidR="006F2066" w:rsidRPr="006F2066" w:rsidRDefault="00603388" w:rsidP="006F2066">
      <w:r>
        <w:t>(Koostanud Liisa-Maria Jürilo)</w:t>
      </w:r>
    </w:p>
    <w:tbl>
      <w:tblPr>
        <w:tblStyle w:val="Kontuurtabel"/>
        <w:tblW w:w="15735" w:type="dxa"/>
        <w:tblInd w:w="-998" w:type="dxa"/>
        <w:tblLook w:val="04A0" w:firstRow="1" w:lastRow="0" w:firstColumn="1" w:lastColumn="0" w:noHBand="0" w:noVBand="1"/>
      </w:tblPr>
      <w:tblGrid>
        <w:gridCol w:w="1384"/>
        <w:gridCol w:w="3594"/>
        <w:gridCol w:w="3391"/>
        <w:gridCol w:w="4624"/>
        <w:gridCol w:w="2742"/>
      </w:tblGrid>
      <w:tr w:rsidR="006F2066" w:rsidRPr="00760A5C" w14:paraId="3294AB93" w14:textId="77777777" w:rsidTr="00D3593C">
        <w:trPr>
          <w:trHeight w:val="462"/>
        </w:trPr>
        <w:tc>
          <w:tcPr>
            <w:tcW w:w="1384" w:type="dxa"/>
          </w:tcPr>
          <w:p w14:paraId="7FDBAB8A" w14:textId="77777777" w:rsidR="006F2066" w:rsidRPr="00760A5C" w:rsidRDefault="006F2066" w:rsidP="00D3593C">
            <w:pPr>
              <w:spacing w:after="120"/>
              <w:ind w:left="360"/>
              <w:rPr>
                <w:rFonts w:cs="Times New Roman"/>
              </w:rPr>
            </w:pPr>
            <w:r w:rsidRPr="00760A5C">
              <w:rPr>
                <w:rFonts w:cs="Times New Roman"/>
              </w:rPr>
              <w:t>RIIK</w:t>
            </w:r>
          </w:p>
        </w:tc>
        <w:tc>
          <w:tcPr>
            <w:tcW w:w="3594" w:type="dxa"/>
          </w:tcPr>
          <w:p w14:paraId="2950BD3A" w14:textId="77777777" w:rsidR="006F2066" w:rsidRPr="00760A5C" w:rsidRDefault="006F2066" w:rsidP="00D3593C">
            <w:pPr>
              <w:spacing w:after="120"/>
              <w:contextualSpacing/>
              <w:rPr>
                <w:rFonts w:cs="Times New Roman"/>
              </w:rPr>
            </w:pPr>
            <w:r w:rsidRPr="00760A5C">
              <w:rPr>
                <w:rFonts w:cs="Times New Roman"/>
              </w:rPr>
              <w:t>I</w:t>
            </w:r>
          </w:p>
        </w:tc>
        <w:tc>
          <w:tcPr>
            <w:tcW w:w="3391" w:type="dxa"/>
          </w:tcPr>
          <w:p w14:paraId="197829B9" w14:textId="77777777" w:rsidR="006F2066" w:rsidRPr="00760A5C" w:rsidRDefault="006F2066" w:rsidP="00D3593C">
            <w:pPr>
              <w:spacing w:after="120"/>
              <w:contextualSpacing/>
              <w:rPr>
                <w:rFonts w:cs="Times New Roman"/>
              </w:rPr>
            </w:pPr>
            <w:r w:rsidRPr="00760A5C">
              <w:rPr>
                <w:rFonts w:cs="Times New Roman"/>
              </w:rPr>
              <w:t>II</w:t>
            </w:r>
          </w:p>
        </w:tc>
        <w:tc>
          <w:tcPr>
            <w:tcW w:w="4624" w:type="dxa"/>
          </w:tcPr>
          <w:p w14:paraId="31E554E8" w14:textId="77777777" w:rsidR="006F2066" w:rsidRPr="00760A5C" w:rsidRDefault="006F2066" w:rsidP="00D3593C">
            <w:pPr>
              <w:spacing w:after="120"/>
              <w:contextualSpacing/>
              <w:rPr>
                <w:rFonts w:cs="Times New Roman"/>
              </w:rPr>
            </w:pPr>
            <w:r w:rsidRPr="00760A5C">
              <w:rPr>
                <w:rFonts w:cs="Times New Roman"/>
              </w:rPr>
              <w:t>III</w:t>
            </w:r>
          </w:p>
        </w:tc>
        <w:tc>
          <w:tcPr>
            <w:tcW w:w="2742" w:type="dxa"/>
          </w:tcPr>
          <w:p w14:paraId="45F712AF" w14:textId="77777777" w:rsidR="006F2066" w:rsidRPr="00760A5C" w:rsidRDefault="006F2066" w:rsidP="00D3593C">
            <w:pPr>
              <w:spacing w:after="120"/>
              <w:contextualSpacing/>
              <w:rPr>
                <w:rFonts w:cs="Times New Roman"/>
              </w:rPr>
            </w:pPr>
            <w:r w:rsidRPr="00760A5C">
              <w:rPr>
                <w:rFonts w:cs="Times New Roman"/>
              </w:rPr>
              <w:t>IV</w:t>
            </w:r>
          </w:p>
        </w:tc>
      </w:tr>
      <w:tr w:rsidR="006F2066" w:rsidRPr="00760A5C" w14:paraId="7AA064DC" w14:textId="77777777" w:rsidTr="00D3593C">
        <w:trPr>
          <w:trHeight w:val="555"/>
        </w:trPr>
        <w:tc>
          <w:tcPr>
            <w:tcW w:w="1384" w:type="dxa"/>
          </w:tcPr>
          <w:p w14:paraId="0C8704BE" w14:textId="77777777" w:rsidR="006F2066" w:rsidRPr="00760A5C" w:rsidRDefault="006F2066" w:rsidP="00D3593C">
            <w:pPr>
              <w:spacing w:after="120"/>
              <w:contextualSpacing/>
              <w:rPr>
                <w:rFonts w:cs="Times New Roman"/>
              </w:rPr>
            </w:pPr>
          </w:p>
        </w:tc>
        <w:tc>
          <w:tcPr>
            <w:tcW w:w="3594" w:type="dxa"/>
          </w:tcPr>
          <w:p w14:paraId="32CD9470" w14:textId="77777777" w:rsidR="006F2066" w:rsidRPr="00760A5C" w:rsidRDefault="006F2066" w:rsidP="00D3593C">
            <w:pPr>
              <w:spacing w:after="120"/>
              <w:rPr>
                <w:rFonts w:cs="Times New Roman"/>
              </w:rPr>
            </w:pPr>
          </w:p>
        </w:tc>
        <w:tc>
          <w:tcPr>
            <w:tcW w:w="3391" w:type="dxa"/>
          </w:tcPr>
          <w:p w14:paraId="13C454FF" w14:textId="77777777" w:rsidR="006F2066" w:rsidRPr="00760A5C" w:rsidRDefault="006F2066" w:rsidP="00D3593C">
            <w:pPr>
              <w:spacing w:after="120"/>
              <w:contextualSpacing/>
              <w:rPr>
                <w:rFonts w:cs="Times New Roman"/>
              </w:rPr>
            </w:pPr>
          </w:p>
        </w:tc>
        <w:tc>
          <w:tcPr>
            <w:tcW w:w="4624" w:type="dxa"/>
          </w:tcPr>
          <w:p w14:paraId="6DFD78F9" w14:textId="77777777" w:rsidR="006F2066" w:rsidRPr="00760A5C" w:rsidRDefault="006F2066" w:rsidP="00D3593C">
            <w:pPr>
              <w:spacing w:after="120"/>
              <w:contextualSpacing/>
              <w:rPr>
                <w:rFonts w:cs="Times New Roman"/>
              </w:rPr>
            </w:pPr>
          </w:p>
        </w:tc>
        <w:tc>
          <w:tcPr>
            <w:tcW w:w="2742" w:type="dxa"/>
          </w:tcPr>
          <w:p w14:paraId="3016ED75"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22BAAB2A" w14:textId="77777777" w:rsidTr="00D3593C">
        <w:trPr>
          <w:trHeight w:val="462"/>
        </w:trPr>
        <w:tc>
          <w:tcPr>
            <w:tcW w:w="1384" w:type="dxa"/>
          </w:tcPr>
          <w:p w14:paraId="764A576F" w14:textId="77777777" w:rsidR="006F2066" w:rsidRPr="00760A5C" w:rsidRDefault="006F2066" w:rsidP="00D3593C">
            <w:pPr>
              <w:spacing w:after="120"/>
              <w:contextualSpacing/>
              <w:rPr>
                <w:rFonts w:cs="Times New Roman"/>
              </w:rPr>
            </w:pPr>
            <w:r w:rsidRPr="00760A5C">
              <w:rPr>
                <w:rFonts w:cs="Times New Roman"/>
              </w:rPr>
              <w:t>Läti</w:t>
            </w:r>
          </w:p>
        </w:tc>
        <w:tc>
          <w:tcPr>
            <w:tcW w:w="3594" w:type="dxa"/>
          </w:tcPr>
          <w:p w14:paraId="1D0945EC" w14:textId="77777777" w:rsidR="006F2066" w:rsidRPr="00760A5C" w:rsidRDefault="006F2066" w:rsidP="00D3593C">
            <w:pPr>
              <w:spacing w:after="120"/>
              <w:contextualSpacing/>
              <w:rPr>
                <w:rFonts w:cs="Times New Roman"/>
              </w:rPr>
            </w:pPr>
            <w:r w:rsidRPr="00760A5C">
              <w:rPr>
                <w:rFonts w:cs="Times New Roman"/>
              </w:rPr>
              <w:t>6 linna- ja rajoonikohut</w:t>
            </w:r>
          </w:p>
          <w:p w14:paraId="07CC274F"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tsiviil- ja kriminaalasjad</w:t>
            </w:r>
          </w:p>
          <w:p w14:paraId="3E0CBA7F" w14:textId="77777777" w:rsidR="006F2066" w:rsidRPr="00760A5C" w:rsidRDefault="006F2066" w:rsidP="00D3593C">
            <w:pPr>
              <w:spacing w:after="120"/>
              <w:contextualSpacing/>
              <w:rPr>
                <w:rFonts w:cs="Times New Roman"/>
              </w:rPr>
            </w:pPr>
            <w:r w:rsidRPr="00760A5C">
              <w:rPr>
                <w:rFonts w:cs="Times New Roman"/>
              </w:rPr>
              <w:t>majanduskohus</w:t>
            </w:r>
          </w:p>
          <w:p w14:paraId="095B67D7" w14:textId="77777777" w:rsidR="006F2066" w:rsidRPr="00760A5C" w:rsidRDefault="006F2066" w:rsidP="00D3593C">
            <w:pPr>
              <w:spacing w:after="120"/>
              <w:contextualSpacing/>
              <w:rPr>
                <w:rFonts w:cs="Times New Roman"/>
              </w:rPr>
            </w:pPr>
            <w:r w:rsidRPr="00760A5C">
              <w:rPr>
                <w:rFonts w:cs="Times New Roman"/>
              </w:rPr>
              <w:t>rajooni halduskohus</w:t>
            </w:r>
          </w:p>
          <w:p w14:paraId="12AB6472"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rajooni halduskohtul on kohtumajad 5-s kohtupiirkonnas üle riigi</w:t>
            </w:r>
          </w:p>
        </w:tc>
        <w:tc>
          <w:tcPr>
            <w:tcW w:w="3391" w:type="dxa"/>
          </w:tcPr>
          <w:p w14:paraId="54392BE0" w14:textId="77777777" w:rsidR="006F2066" w:rsidRPr="00760A5C" w:rsidRDefault="006F2066" w:rsidP="00D3593C">
            <w:pPr>
              <w:spacing w:after="120"/>
              <w:contextualSpacing/>
              <w:rPr>
                <w:rFonts w:cs="Times New Roman"/>
              </w:rPr>
            </w:pPr>
            <w:r w:rsidRPr="00760A5C">
              <w:rPr>
                <w:rFonts w:cs="Times New Roman"/>
              </w:rPr>
              <w:t>5 regionaalset kohut + regionaalne halduskohus</w:t>
            </w:r>
          </w:p>
          <w:p w14:paraId="30550EA3"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apellatsioonikohtud</w:t>
            </w:r>
          </w:p>
          <w:p w14:paraId="4A1F4A0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teatud juhtudel võib olla I kohtuinstants</w:t>
            </w:r>
          </w:p>
          <w:p w14:paraId="2D67949C"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igal regionaalsel kohtul on oma haldusterritoorium (koosneb ühest või mitmest rajooni kohtu kohtupiirkonnast) ja kohtumaja</w:t>
            </w:r>
          </w:p>
        </w:tc>
        <w:tc>
          <w:tcPr>
            <w:tcW w:w="4624" w:type="dxa"/>
          </w:tcPr>
          <w:p w14:paraId="79BCE2A2" w14:textId="77777777" w:rsidR="006F2066" w:rsidRPr="00760A5C" w:rsidRDefault="006F2066" w:rsidP="00D3593C">
            <w:pPr>
              <w:spacing w:after="120"/>
              <w:contextualSpacing/>
              <w:rPr>
                <w:rFonts w:cs="Times New Roman"/>
              </w:rPr>
            </w:pPr>
            <w:r w:rsidRPr="00760A5C">
              <w:rPr>
                <w:rFonts w:cs="Times New Roman"/>
              </w:rPr>
              <w:t>kõrgeim kohus</w:t>
            </w:r>
          </w:p>
          <w:p w14:paraId="5E4F695F"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tsiviil-, haldus- ja kriminaalkolleegium</w:t>
            </w:r>
          </w:p>
          <w:p w14:paraId="278A398E"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kassatsioonkohus</w:t>
            </w:r>
          </w:p>
        </w:tc>
        <w:tc>
          <w:tcPr>
            <w:tcW w:w="2742" w:type="dxa"/>
          </w:tcPr>
          <w:p w14:paraId="7CCEC078"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02FC3CE6" w14:textId="77777777" w:rsidTr="00D3593C">
        <w:trPr>
          <w:trHeight w:val="555"/>
        </w:trPr>
        <w:tc>
          <w:tcPr>
            <w:tcW w:w="1384" w:type="dxa"/>
            <w:vMerge w:val="restart"/>
          </w:tcPr>
          <w:p w14:paraId="6E452F90" w14:textId="77777777" w:rsidR="006F2066" w:rsidRPr="00760A5C" w:rsidRDefault="006F2066" w:rsidP="00D3593C">
            <w:pPr>
              <w:spacing w:after="120"/>
              <w:contextualSpacing/>
              <w:rPr>
                <w:rFonts w:cs="Times New Roman"/>
              </w:rPr>
            </w:pPr>
            <w:r w:rsidRPr="00760A5C">
              <w:rPr>
                <w:rFonts w:cs="Times New Roman"/>
              </w:rPr>
              <w:t>Sloveenia</w:t>
            </w:r>
          </w:p>
        </w:tc>
        <w:tc>
          <w:tcPr>
            <w:tcW w:w="3594" w:type="dxa"/>
          </w:tcPr>
          <w:p w14:paraId="6F3EA830" w14:textId="77777777" w:rsidR="006F2066" w:rsidRPr="00760A5C" w:rsidRDefault="006F2066" w:rsidP="00D3593C">
            <w:pPr>
              <w:spacing w:after="120"/>
              <w:contextualSpacing/>
              <w:rPr>
                <w:rFonts w:cs="Times New Roman"/>
              </w:rPr>
            </w:pPr>
            <w:r w:rsidRPr="00760A5C">
              <w:rPr>
                <w:rFonts w:cs="Times New Roman"/>
              </w:rPr>
              <w:t>ca 44 piirkondlikku kohut</w:t>
            </w:r>
          </w:p>
          <w:p w14:paraId="51C7237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tsiviil- ja (kergemad) kriminaalasjad</w:t>
            </w:r>
          </w:p>
        </w:tc>
        <w:tc>
          <w:tcPr>
            <w:tcW w:w="3391" w:type="dxa"/>
            <w:vMerge w:val="restart"/>
          </w:tcPr>
          <w:p w14:paraId="5FA8409B" w14:textId="77777777" w:rsidR="006F2066" w:rsidRPr="00760A5C" w:rsidRDefault="006F2066" w:rsidP="00D3593C">
            <w:pPr>
              <w:spacing w:after="120"/>
              <w:rPr>
                <w:rFonts w:cs="Times New Roman"/>
              </w:rPr>
            </w:pPr>
            <w:r w:rsidRPr="00760A5C">
              <w:rPr>
                <w:rFonts w:cs="Times New Roman"/>
              </w:rPr>
              <w:t>4 kõrgemat kohut</w:t>
            </w:r>
          </w:p>
          <w:p w14:paraId="54C352DF"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apellatsioonikohtud</w:t>
            </w:r>
          </w:p>
        </w:tc>
        <w:tc>
          <w:tcPr>
            <w:tcW w:w="4624" w:type="dxa"/>
            <w:vMerge w:val="restart"/>
          </w:tcPr>
          <w:p w14:paraId="644F29AC" w14:textId="77777777" w:rsidR="006F2066" w:rsidRPr="00760A5C" w:rsidRDefault="006F2066" w:rsidP="00D3593C">
            <w:pPr>
              <w:spacing w:after="120"/>
              <w:rPr>
                <w:rFonts w:cs="Times New Roman"/>
              </w:rPr>
            </w:pPr>
            <w:r w:rsidRPr="00760A5C">
              <w:rPr>
                <w:rFonts w:cs="Times New Roman"/>
              </w:rPr>
              <w:t>kõrgeim kohus</w:t>
            </w:r>
          </w:p>
        </w:tc>
        <w:tc>
          <w:tcPr>
            <w:tcW w:w="2742" w:type="dxa"/>
            <w:vMerge w:val="restart"/>
          </w:tcPr>
          <w:p w14:paraId="4BFEA491" w14:textId="77777777" w:rsidR="006F2066" w:rsidRPr="00760A5C" w:rsidRDefault="006F2066" w:rsidP="00D3593C">
            <w:pPr>
              <w:spacing w:after="120"/>
              <w:contextualSpacing/>
              <w:rPr>
                <w:rFonts w:cs="Times New Roman"/>
              </w:rPr>
            </w:pPr>
          </w:p>
        </w:tc>
      </w:tr>
      <w:tr w:rsidR="006F2066" w:rsidRPr="00760A5C" w14:paraId="5F371161" w14:textId="77777777" w:rsidTr="00D3593C">
        <w:trPr>
          <w:trHeight w:val="555"/>
        </w:trPr>
        <w:tc>
          <w:tcPr>
            <w:tcW w:w="1384" w:type="dxa"/>
            <w:vMerge/>
          </w:tcPr>
          <w:p w14:paraId="21B8FE73" w14:textId="77777777" w:rsidR="006F2066" w:rsidRPr="00760A5C" w:rsidRDefault="006F2066" w:rsidP="00D3593C">
            <w:pPr>
              <w:spacing w:after="120"/>
              <w:contextualSpacing/>
              <w:rPr>
                <w:rFonts w:cs="Times New Roman"/>
              </w:rPr>
            </w:pPr>
          </w:p>
        </w:tc>
        <w:tc>
          <w:tcPr>
            <w:tcW w:w="3594" w:type="dxa"/>
          </w:tcPr>
          <w:p w14:paraId="510652C7" w14:textId="77777777" w:rsidR="006F2066" w:rsidRPr="00760A5C" w:rsidRDefault="006F2066" w:rsidP="00D3593C">
            <w:pPr>
              <w:spacing w:after="120"/>
              <w:rPr>
                <w:rFonts w:cs="Times New Roman"/>
              </w:rPr>
            </w:pPr>
            <w:r w:rsidRPr="00760A5C">
              <w:rPr>
                <w:rFonts w:cs="Times New Roman"/>
              </w:rPr>
              <w:t>ca 11 regionaalset kohut</w:t>
            </w:r>
          </w:p>
          <w:p w14:paraId="7AA27455"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olulisemad tsiviil- ja kriminaalasjad</w:t>
            </w:r>
          </w:p>
        </w:tc>
        <w:tc>
          <w:tcPr>
            <w:tcW w:w="3391" w:type="dxa"/>
            <w:vMerge/>
          </w:tcPr>
          <w:p w14:paraId="4555CB21" w14:textId="77777777" w:rsidR="006F2066" w:rsidRPr="00760A5C" w:rsidRDefault="006F2066" w:rsidP="006F2066">
            <w:pPr>
              <w:numPr>
                <w:ilvl w:val="0"/>
                <w:numId w:val="11"/>
              </w:numPr>
              <w:spacing w:after="120"/>
              <w:contextualSpacing/>
              <w:jc w:val="both"/>
              <w:rPr>
                <w:rFonts w:cs="Times New Roman"/>
              </w:rPr>
            </w:pPr>
          </w:p>
        </w:tc>
        <w:tc>
          <w:tcPr>
            <w:tcW w:w="4624" w:type="dxa"/>
            <w:vMerge/>
          </w:tcPr>
          <w:p w14:paraId="075E7A59" w14:textId="77777777" w:rsidR="006F2066" w:rsidRPr="00760A5C" w:rsidRDefault="006F2066" w:rsidP="00D3593C">
            <w:pPr>
              <w:spacing w:after="120"/>
              <w:contextualSpacing/>
              <w:rPr>
                <w:rFonts w:cs="Times New Roman"/>
              </w:rPr>
            </w:pPr>
          </w:p>
        </w:tc>
        <w:tc>
          <w:tcPr>
            <w:tcW w:w="2742" w:type="dxa"/>
            <w:vMerge/>
          </w:tcPr>
          <w:p w14:paraId="4E885523" w14:textId="77777777" w:rsidR="006F2066" w:rsidRPr="00760A5C" w:rsidRDefault="006F2066" w:rsidP="00D3593C">
            <w:pPr>
              <w:spacing w:after="120"/>
              <w:contextualSpacing/>
              <w:rPr>
                <w:rFonts w:cs="Times New Roman"/>
              </w:rPr>
            </w:pPr>
          </w:p>
        </w:tc>
      </w:tr>
      <w:tr w:rsidR="006F2066" w:rsidRPr="00760A5C" w14:paraId="4B0AE815" w14:textId="77777777" w:rsidTr="00D3593C">
        <w:trPr>
          <w:trHeight w:val="233"/>
        </w:trPr>
        <w:tc>
          <w:tcPr>
            <w:tcW w:w="1384" w:type="dxa"/>
            <w:vMerge w:val="restart"/>
          </w:tcPr>
          <w:p w14:paraId="5EA2A521" w14:textId="77777777" w:rsidR="006F2066" w:rsidRPr="00760A5C" w:rsidRDefault="006F2066" w:rsidP="00D3593C">
            <w:pPr>
              <w:spacing w:after="120"/>
              <w:contextualSpacing/>
              <w:rPr>
                <w:rFonts w:cs="Times New Roman"/>
              </w:rPr>
            </w:pPr>
            <w:r w:rsidRPr="00760A5C">
              <w:rPr>
                <w:rFonts w:cs="Times New Roman"/>
              </w:rPr>
              <w:t>Leedu</w:t>
            </w:r>
          </w:p>
        </w:tc>
        <w:tc>
          <w:tcPr>
            <w:tcW w:w="3594" w:type="dxa"/>
          </w:tcPr>
          <w:p w14:paraId="20A5DC99" w14:textId="77777777" w:rsidR="006F2066" w:rsidRPr="00760A5C" w:rsidRDefault="006F2066" w:rsidP="00D3593C">
            <w:pPr>
              <w:spacing w:after="120"/>
              <w:contextualSpacing/>
              <w:rPr>
                <w:rFonts w:cs="Times New Roman"/>
              </w:rPr>
            </w:pPr>
            <w:r w:rsidRPr="00760A5C">
              <w:rPr>
                <w:rFonts w:cs="Times New Roman"/>
              </w:rPr>
              <w:t>49 piirkonnakohut</w:t>
            </w:r>
          </w:p>
          <w:p w14:paraId="160CABDB"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I astme kohus kergemate ja vähemoluliste kohtuasjade puhul</w:t>
            </w:r>
          </w:p>
        </w:tc>
        <w:tc>
          <w:tcPr>
            <w:tcW w:w="3391" w:type="dxa"/>
            <w:vMerge w:val="restart"/>
          </w:tcPr>
          <w:p w14:paraId="7F29B4F7" w14:textId="77777777" w:rsidR="006F2066" w:rsidRPr="00760A5C" w:rsidRDefault="006F2066" w:rsidP="00D3593C">
            <w:pPr>
              <w:spacing w:after="120"/>
              <w:contextualSpacing/>
              <w:rPr>
                <w:rFonts w:cs="Times New Roman"/>
              </w:rPr>
            </w:pPr>
            <w:r w:rsidRPr="00760A5C">
              <w:rPr>
                <w:rFonts w:cs="Times New Roman"/>
              </w:rPr>
              <w:t>apellatsioonikohus</w:t>
            </w:r>
          </w:p>
          <w:p w14:paraId="7E1061B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apellatsioonid ringkonnakohtu otsuste peale</w:t>
            </w:r>
          </w:p>
        </w:tc>
        <w:tc>
          <w:tcPr>
            <w:tcW w:w="4624" w:type="dxa"/>
            <w:vMerge w:val="restart"/>
          </w:tcPr>
          <w:p w14:paraId="5581783B" w14:textId="77777777" w:rsidR="006F2066" w:rsidRPr="00760A5C" w:rsidRDefault="006F2066" w:rsidP="00D3593C">
            <w:pPr>
              <w:spacing w:after="120"/>
              <w:contextualSpacing/>
              <w:rPr>
                <w:rFonts w:cs="Times New Roman"/>
              </w:rPr>
            </w:pPr>
            <w:r w:rsidRPr="00760A5C">
              <w:rPr>
                <w:rFonts w:cs="Times New Roman"/>
              </w:rPr>
              <w:t>ülemkohus</w:t>
            </w:r>
          </w:p>
          <w:p w14:paraId="62EE45AD"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kassatsioonikohus</w:t>
            </w:r>
          </w:p>
        </w:tc>
        <w:tc>
          <w:tcPr>
            <w:tcW w:w="2742" w:type="dxa"/>
            <w:vMerge w:val="restart"/>
          </w:tcPr>
          <w:p w14:paraId="69F3DA4F"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20DAFD91" w14:textId="77777777" w:rsidTr="00D3593C">
        <w:trPr>
          <w:trHeight w:val="232"/>
        </w:trPr>
        <w:tc>
          <w:tcPr>
            <w:tcW w:w="1384" w:type="dxa"/>
            <w:vMerge/>
          </w:tcPr>
          <w:p w14:paraId="7C76503B" w14:textId="77777777" w:rsidR="006F2066" w:rsidRPr="00760A5C" w:rsidRDefault="006F2066" w:rsidP="00D3593C">
            <w:pPr>
              <w:spacing w:after="120"/>
              <w:contextualSpacing/>
              <w:rPr>
                <w:rFonts w:cs="Times New Roman"/>
              </w:rPr>
            </w:pPr>
          </w:p>
        </w:tc>
        <w:tc>
          <w:tcPr>
            <w:tcW w:w="3594" w:type="dxa"/>
          </w:tcPr>
          <w:p w14:paraId="61F0E922" w14:textId="77777777" w:rsidR="006F2066" w:rsidRPr="00760A5C" w:rsidRDefault="006F2066" w:rsidP="00D3593C">
            <w:pPr>
              <w:spacing w:after="120"/>
              <w:contextualSpacing/>
              <w:rPr>
                <w:rFonts w:cs="Times New Roman"/>
              </w:rPr>
            </w:pPr>
            <w:r w:rsidRPr="00760A5C">
              <w:rPr>
                <w:rFonts w:cs="Times New Roman"/>
              </w:rPr>
              <w:t>5 ringkonnakohut</w:t>
            </w:r>
          </w:p>
          <w:p w14:paraId="722CA75F"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täieliku pädevusega I astme kohus</w:t>
            </w:r>
          </w:p>
          <w:p w14:paraId="361DE88A"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apellatsioonikohus</w:t>
            </w:r>
          </w:p>
        </w:tc>
        <w:tc>
          <w:tcPr>
            <w:tcW w:w="3391" w:type="dxa"/>
            <w:vMerge/>
          </w:tcPr>
          <w:p w14:paraId="346EC7E1" w14:textId="77777777" w:rsidR="006F2066" w:rsidRPr="00760A5C" w:rsidRDefault="006F2066" w:rsidP="00D3593C">
            <w:pPr>
              <w:spacing w:after="120"/>
              <w:contextualSpacing/>
              <w:rPr>
                <w:rFonts w:cs="Times New Roman"/>
              </w:rPr>
            </w:pPr>
          </w:p>
        </w:tc>
        <w:tc>
          <w:tcPr>
            <w:tcW w:w="4624" w:type="dxa"/>
            <w:vMerge/>
          </w:tcPr>
          <w:p w14:paraId="18F6E319" w14:textId="77777777" w:rsidR="006F2066" w:rsidRPr="00760A5C" w:rsidRDefault="006F2066" w:rsidP="006F2066">
            <w:pPr>
              <w:numPr>
                <w:ilvl w:val="0"/>
                <w:numId w:val="11"/>
              </w:numPr>
              <w:spacing w:after="120"/>
              <w:contextualSpacing/>
              <w:jc w:val="both"/>
              <w:rPr>
                <w:rFonts w:cs="Times New Roman"/>
              </w:rPr>
            </w:pPr>
          </w:p>
        </w:tc>
        <w:tc>
          <w:tcPr>
            <w:tcW w:w="2742" w:type="dxa"/>
            <w:vMerge/>
          </w:tcPr>
          <w:p w14:paraId="5273002F"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4A7EC7BC" w14:textId="77777777" w:rsidTr="00D3593C">
        <w:trPr>
          <w:trHeight w:val="462"/>
        </w:trPr>
        <w:tc>
          <w:tcPr>
            <w:tcW w:w="1384" w:type="dxa"/>
          </w:tcPr>
          <w:p w14:paraId="0C3E6C23" w14:textId="77777777" w:rsidR="006F2066" w:rsidRPr="00760A5C" w:rsidRDefault="006F2066" w:rsidP="00D3593C">
            <w:pPr>
              <w:spacing w:after="120"/>
              <w:contextualSpacing/>
              <w:rPr>
                <w:rFonts w:cs="Times New Roman"/>
              </w:rPr>
            </w:pPr>
            <w:r w:rsidRPr="00760A5C">
              <w:rPr>
                <w:rFonts w:cs="Times New Roman"/>
              </w:rPr>
              <w:lastRenderedPageBreak/>
              <w:t>Iirimaa</w:t>
            </w:r>
          </w:p>
        </w:tc>
        <w:tc>
          <w:tcPr>
            <w:tcW w:w="3594" w:type="dxa"/>
          </w:tcPr>
          <w:p w14:paraId="51C720A1" w14:textId="77777777" w:rsidR="006F2066" w:rsidRPr="00760A5C" w:rsidRDefault="006F2066" w:rsidP="00D3593C">
            <w:pPr>
              <w:spacing w:after="120"/>
              <w:contextualSpacing/>
              <w:rPr>
                <w:rFonts w:cs="Times New Roman"/>
              </w:rPr>
            </w:pPr>
            <w:r w:rsidRPr="00760A5C">
              <w:rPr>
                <w:rFonts w:cs="Times New Roman"/>
              </w:rPr>
              <w:t>I astme kohus (</w:t>
            </w:r>
            <w:proofErr w:type="spellStart"/>
            <w:r>
              <w:fldChar w:fldCharType="begin"/>
            </w:r>
            <w:r>
              <w:instrText>HYPERLINK "https://www.courts.ie/district-court"</w:instrText>
            </w:r>
            <w:r>
              <w:fldChar w:fldCharType="separate"/>
            </w:r>
            <w:r w:rsidRPr="00760A5C">
              <w:rPr>
                <w:rFonts w:cs="Times New Roman"/>
                <w:color w:val="467886" w:themeColor="hyperlink"/>
                <w:u w:val="single"/>
              </w:rPr>
              <w:t>District</w:t>
            </w:r>
            <w:proofErr w:type="spellEnd"/>
            <w:r w:rsidRPr="00760A5C">
              <w:rPr>
                <w:rFonts w:cs="Times New Roman"/>
                <w:color w:val="467886" w:themeColor="hyperlink"/>
                <w:u w:val="single"/>
              </w:rPr>
              <w:t xml:space="preserve"> </w:t>
            </w:r>
            <w:proofErr w:type="spellStart"/>
            <w:r w:rsidRPr="00760A5C">
              <w:rPr>
                <w:rFonts w:cs="Times New Roman"/>
                <w:color w:val="467886" w:themeColor="hyperlink"/>
                <w:u w:val="single"/>
              </w:rPr>
              <w:t>Court</w:t>
            </w:r>
            <w:proofErr w:type="spellEnd"/>
            <w:r>
              <w:rPr>
                <w:rFonts w:cs="Times New Roman"/>
                <w:color w:val="467886" w:themeColor="hyperlink"/>
                <w:u w:val="single"/>
              </w:rPr>
              <w:fldChar w:fldCharType="end"/>
            </w:r>
            <w:r w:rsidRPr="00760A5C">
              <w:rPr>
                <w:rFonts w:cs="Times New Roman"/>
              </w:rPr>
              <w:t>)</w:t>
            </w:r>
          </w:p>
          <w:p w14:paraId="5F3B96E1"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Üks kohus, mis on organiseeritud regionaalsel tasandil</w:t>
            </w:r>
          </w:p>
          <w:p w14:paraId="0C182024" w14:textId="77777777" w:rsidR="006F2066" w:rsidRPr="00760A5C" w:rsidRDefault="00000000" w:rsidP="006F2066">
            <w:pPr>
              <w:numPr>
                <w:ilvl w:val="0"/>
                <w:numId w:val="11"/>
              </w:numPr>
              <w:spacing w:after="120"/>
              <w:contextualSpacing/>
              <w:jc w:val="both"/>
              <w:rPr>
                <w:rFonts w:cs="Times New Roman"/>
              </w:rPr>
            </w:pPr>
            <w:hyperlink r:id="rId9" w:history="1">
              <w:r w:rsidR="006F2066" w:rsidRPr="00760A5C">
                <w:rPr>
                  <w:rFonts w:cs="Times New Roman"/>
                  <w:color w:val="467886" w:themeColor="hyperlink"/>
                  <w:u w:val="single"/>
                </w:rPr>
                <w:t>Riigis 23 ringkonda (</w:t>
              </w:r>
              <w:proofErr w:type="spellStart"/>
              <w:r w:rsidR="006F2066" w:rsidRPr="00760A5C">
                <w:rPr>
                  <w:rFonts w:cs="Times New Roman"/>
                  <w:color w:val="467886" w:themeColor="hyperlink"/>
                  <w:u w:val="single"/>
                </w:rPr>
                <w:t>District</w:t>
              </w:r>
              <w:proofErr w:type="spellEnd"/>
              <w:r w:rsidR="006F2066" w:rsidRPr="00760A5C">
                <w:rPr>
                  <w:rFonts w:cs="Times New Roman"/>
                  <w:color w:val="467886" w:themeColor="hyperlink"/>
                  <w:u w:val="single"/>
                </w:rPr>
                <w:t xml:space="preserve"> </w:t>
              </w:r>
              <w:proofErr w:type="spellStart"/>
              <w:r w:rsidR="006F2066" w:rsidRPr="00760A5C">
                <w:rPr>
                  <w:rFonts w:cs="Times New Roman"/>
                  <w:color w:val="467886" w:themeColor="hyperlink"/>
                  <w:u w:val="single"/>
                </w:rPr>
                <w:t>Court</w:t>
              </w:r>
              <w:proofErr w:type="spellEnd"/>
              <w:r w:rsidR="006F2066" w:rsidRPr="00760A5C">
                <w:rPr>
                  <w:rFonts w:cs="Times New Roman"/>
                  <w:color w:val="467886" w:themeColor="hyperlink"/>
                  <w:u w:val="single"/>
                </w:rPr>
                <w:t xml:space="preserve"> </w:t>
              </w:r>
              <w:proofErr w:type="spellStart"/>
              <w:r w:rsidR="006F2066" w:rsidRPr="00760A5C">
                <w:rPr>
                  <w:rFonts w:cs="Times New Roman"/>
                  <w:color w:val="467886" w:themeColor="hyperlink"/>
                  <w:u w:val="single"/>
                </w:rPr>
                <w:t>Districts</w:t>
              </w:r>
              <w:proofErr w:type="spellEnd"/>
              <w:r w:rsidR="006F2066" w:rsidRPr="00760A5C">
                <w:rPr>
                  <w:rFonts w:cs="Times New Roman"/>
                  <w:color w:val="467886" w:themeColor="hyperlink"/>
                  <w:u w:val="single"/>
                </w:rPr>
                <w:t>)</w:t>
              </w:r>
            </w:hyperlink>
            <w:r w:rsidR="006F2066" w:rsidRPr="00760A5C">
              <w:rPr>
                <w:rFonts w:cs="Times New Roman"/>
              </w:rPr>
              <w:t xml:space="preserve"> + Dublin </w:t>
            </w:r>
            <w:proofErr w:type="spellStart"/>
            <w:r w:rsidR="006F2066" w:rsidRPr="00760A5C">
              <w:rPr>
                <w:rFonts w:cs="Times New Roman"/>
              </w:rPr>
              <w:t>Metropolitan</w:t>
            </w:r>
            <w:proofErr w:type="spellEnd"/>
            <w:r w:rsidR="006F2066" w:rsidRPr="00760A5C">
              <w:rPr>
                <w:rFonts w:cs="Times New Roman"/>
              </w:rPr>
              <w:t xml:space="preserve"> </w:t>
            </w:r>
            <w:proofErr w:type="spellStart"/>
            <w:r w:rsidR="006F2066" w:rsidRPr="00760A5C">
              <w:rPr>
                <w:rFonts w:cs="Times New Roman"/>
              </w:rPr>
              <w:t>District</w:t>
            </w:r>
            <w:proofErr w:type="spellEnd"/>
            <w:r w:rsidR="006F2066" w:rsidRPr="00760A5C">
              <w:rPr>
                <w:rFonts w:cs="Times New Roman"/>
              </w:rPr>
              <w:t>. Iga ringkond jaguneb omakorda kohtupiirkondadeks (</w:t>
            </w:r>
            <w:proofErr w:type="spellStart"/>
            <w:r w:rsidR="006F2066" w:rsidRPr="00760A5C">
              <w:rPr>
                <w:rFonts w:cs="Times New Roman"/>
              </w:rPr>
              <w:t>District</w:t>
            </w:r>
            <w:proofErr w:type="spellEnd"/>
            <w:r w:rsidR="006F2066" w:rsidRPr="00760A5C">
              <w:rPr>
                <w:rFonts w:cs="Times New Roman"/>
              </w:rPr>
              <w:t xml:space="preserve"> </w:t>
            </w:r>
            <w:proofErr w:type="spellStart"/>
            <w:r w:rsidR="006F2066" w:rsidRPr="00760A5C">
              <w:rPr>
                <w:rFonts w:cs="Times New Roman"/>
              </w:rPr>
              <w:t>Court</w:t>
            </w:r>
            <w:proofErr w:type="spellEnd"/>
            <w:r w:rsidR="006F2066" w:rsidRPr="00760A5C">
              <w:rPr>
                <w:rFonts w:cs="Times New Roman"/>
              </w:rPr>
              <w:t xml:space="preserve"> </w:t>
            </w:r>
            <w:proofErr w:type="spellStart"/>
            <w:r w:rsidR="006F2066" w:rsidRPr="00760A5C">
              <w:rPr>
                <w:rFonts w:cs="Times New Roman"/>
              </w:rPr>
              <w:t>areas</w:t>
            </w:r>
            <w:proofErr w:type="spellEnd"/>
            <w:r w:rsidR="006F2066" w:rsidRPr="00760A5C">
              <w:rPr>
                <w:rFonts w:cs="Times New Roman"/>
              </w:rPr>
              <w:t>)</w:t>
            </w:r>
          </w:p>
          <w:p w14:paraId="1495B5DC"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4 valdkonda: kriminaal, tsiviil, perekonnaõigus, litsentsimine (</w:t>
            </w:r>
            <w:proofErr w:type="spellStart"/>
            <w:r w:rsidRPr="00760A5C">
              <w:rPr>
                <w:rFonts w:cs="Times New Roman"/>
              </w:rPr>
              <w:t>licensing</w:t>
            </w:r>
            <w:proofErr w:type="spellEnd"/>
            <w:r w:rsidRPr="00760A5C">
              <w:rPr>
                <w:rFonts w:cs="Times New Roman"/>
              </w:rPr>
              <w:t>)</w:t>
            </w:r>
          </w:p>
          <w:p w14:paraId="4E6E75EA"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Juhatus: President of </w:t>
            </w:r>
            <w:proofErr w:type="spellStart"/>
            <w:r w:rsidRPr="00760A5C">
              <w:rPr>
                <w:rFonts w:cs="Times New Roman"/>
              </w:rPr>
              <w:t>the</w:t>
            </w:r>
            <w:proofErr w:type="spellEnd"/>
            <w:r w:rsidRPr="00760A5C">
              <w:rPr>
                <w:rFonts w:cs="Times New Roman"/>
              </w:rPr>
              <w:t xml:space="preserve"> </w:t>
            </w:r>
            <w:proofErr w:type="spellStart"/>
            <w:r w:rsidRPr="00760A5C">
              <w:rPr>
                <w:rFonts w:cs="Times New Roman"/>
              </w:rPr>
              <w:t>District</w:t>
            </w:r>
            <w:proofErr w:type="spellEnd"/>
            <w:r w:rsidRPr="00760A5C">
              <w:rPr>
                <w:rFonts w:cs="Times New Roman"/>
              </w:rPr>
              <w:t xml:space="preserve"> </w:t>
            </w:r>
            <w:proofErr w:type="spellStart"/>
            <w:r w:rsidRPr="00760A5C">
              <w:rPr>
                <w:rFonts w:cs="Times New Roman"/>
              </w:rPr>
              <w:t>Court</w:t>
            </w:r>
            <w:proofErr w:type="spellEnd"/>
          </w:p>
          <w:p w14:paraId="7EAE664C"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kokku kuni 71 kohtunikku</w:t>
            </w:r>
          </w:p>
          <w:p w14:paraId="03977F14"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Igasse ringkonda määratud ametisse üks või mitu vastutavat kohtunikku.</w:t>
            </w:r>
          </w:p>
          <w:p w14:paraId="65F2D357"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Igal ringkonnal on oma kohtumaja (v.a Dublin </w:t>
            </w:r>
            <w:proofErr w:type="spellStart"/>
            <w:r w:rsidRPr="00760A5C">
              <w:rPr>
                <w:rFonts w:cs="Times New Roman"/>
              </w:rPr>
              <w:t>Metropolitan</w:t>
            </w:r>
            <w:proofErr w:type="spellEnd"/>
            <w:r w:rsidRPr="00760A5C">
              <w:rPr>
                <w:rFonts w:cs="Times New Roman"/>
              </w:rPr>
              <w:t xml:space="preserve"> </w:t>
            </w:r>
            <w:proofErr w:type="spellStart"/>
            <w:r w:rsidRPr="00760A5C">
              <w:rPr>
                <w:rFonts w:cs="Times New Roman"/>
              </w:rPr>
              <w:t>District</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mis tegeleb kõigi ringkonna kohtu töö valdkondadega</w:t>
            </w:r>
          </w:p>
          <w:p w14:paraId="2FA2AFD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olemas kohalikud </w:t>
            </w:r>
            <w:proofErr w:type="spellStart"/>
            <w:r w:rsidRPr="00760A5C">
              <w:rPr>
                <w:rFonts w:cs="Times New Roman"/>
              </w:rPr>
              <w:t>District</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office’d</w:t>
            </w:r>
            <w:proofErr w:type="spellEnd"/>
            <w:r w:rsidRPr="00760A5C">
              <w:rPr>
                <w:rFonts w:cs="Times New Roman"/>
              </w:rPr>
              <w:t xml:space="preserve">. Üks </w:t>
            </w:r>
            <w:proofErr w:type="spellStart"/>
            <w:r w:rsidRPr="00760A5C">
              <w:rPr>
                <w:rFonts w:cs="Times New Roman"/>
              </w:rPr>
              <w:t>Court</w:t>
            </w:r>
            <w:proofErr w:type="spellEnd"/>
            <w:r w:rsidRPr="00760A5C">
              <w:rPr>
                <w:rFonts w:cs="Times New Roman"/>
              </w:rPr>
              <w:t xml:space="preserve"> Office võib teenindada mitut kohtupiirkonda</w:t>
            </w:r>
          </w:p>
        </w:tc>
        <w:tc>
          <w:tcPr>
            <w:tcW w:w="3391" w:type="dxa"/>
          </w:tcPr>
          <w:p w14:paraId="0F40688E" w14:textId="77777777" w:rsidR="006F2066" w:rsidRPr="00760A5C" w:rsidRDefault="006F2066" w:rsidP="00D3593C">
            <w:pPr>
              <w:spacing w:after="120"/>
              <w:contextualSpacing/>
              <w:rPr>
                <w:rFonts w:cs="Times New Roman"/>
              </w:rPr>
            </w:pPr>
            <w:proofErr w:type="spellStart"/>
            <w:r w:rsidRPr="00760A5C">
              <w:rPr>
                <w:rFonts w:cs="Times New Roman"/>
              </w:rPr>
              <w:t>Circuit</w:t>
            </w:r>
            <w:proofErr w:type="spellEnd"/>
            <w:r w:rsidRPr="00760A5C">
              <w:rPr>
                <w:rFonts w:cs="Times New Roman"/>
              </w:rPr>
              <w:t xml:space="preserve"> </w:t>
            </w:r>
            <w:proofErr w:type="spellStart"/>
            <w:r w:rsidRPr="00760A5C">
              <w:rPr>
                <w:rFonts w:cs="Times New Roman"/>
              </w:rPr>
              <w:t>Court</w:t>
            </w:r>
            <w:proofErr w:type="spellEnd"/>
          </w:p>
          <w:p w14:paraId="34F7D1D3" w14:textId="77777777" w:rsidR="006F2066" w:rsidRPr="00760A5C" w:rsidRDefault="006F2066" w:rsidP="006F2066">
            <w:pPr>
              <w:pStyle w:val="Loendilik"/>
              <w:numPr>
                <w:ilvl w:val="0"/>
                <w:numId w:val="11"/>
              </w:numPr>
              <w:spacing w:after="120"/>
              <w:rPr>
                <w:rFonts w:cs="Times New Roman"/>
              </w:rPr>
            </w:pPr>
            <w:r w:rsidRPr="00760A5C">
              <w:rPr>
                <w:rFonts w:cs="Times New Roman"/>
              </w:rPr>
              <w:t>üks kohus</w:t>
            </w:r>
          </w:p>
          <w:p w14:paraId="22395502" w14:textId="77777777" w:rsidR="006F2066" w:rsidRPr="00760A5C" w:rsidRDefault="006F2066" w:rsidP="006F2066">
            <w:pPr>
              <w:pStyle w:val="Loendilik"/>
              <w:numPr>
                <w:ilvl w:val="0"/>
                <w:numId w:val="11"/>
              </w:numPr>
              <w:spacing w:after="120"/>
              <w:rPr>
                <w:rFonts w:cs="Times New Roman"/>
              </w:rPr>
            </w:pPr>
            <w:r w:rsidRPr="00760A5C">
              <w:rPr>
                <w:rFonts w:cs="Times New Roman"/>
              </w:rPr>
              <w:t>apellatsioonikohus</w:t>
            </w:r>
          </w:p>
          <w:p w14:paraId="0C7F00E7" w14:textId="77777777" w:rsidR="006F2066" w:rsidRPr="00760A5C" w:rsidRDefault="006F2066" w:rsidP="006F2066">
            <w:pPr>
              <w:pStyle w:val="Loendilik"/>
              <w:numPr>
                <w:ilvl w:val="0"/>
                <w:numId w:val="11"/>
              </w:numPr>
              <w:spacing w:after="120"/>
              <w:rPr>
                <w:rFonts w:cs="Times New Roman"/>
              </w:rPr>
            </w:pPr>
            <w:r w:rsidRPr="00760A5C">
              <w:rPr>
                <w:rFonts w:cs="Times New Roman"/>
              </w:rPr>
              <w:t xml:space="preserve">riik jagatud 8-ks </w:t>
            </w:r>
            <w:proofErr w:type="spellStart"/>
            <w:r w:rsidRPr="00760A5C">
              <w:rPr>
                <w:rFonts w:cs="Times New Roman"/>
              </w:rPr>
              <w:t>circuit’iks</w:t>
            </w:r>
            <w:proofErr w:type="spellEnd"/>
          </w:p>
          <w:p w14:paraId="7F5242DB" w14:textId="77777777" w:rsidR="006F2066" w:rsidRPr="00760A5C" w:rsidRDefault="006F2066" w:rsidP="006F2066">
            <w:pPr>
              <w:pStyle w:val="Loendilik"/>
              <w:numPr>
                <w:ilvl w:val="0"/>
                <w:numId w:val="11"/>
              </w:numPr>
              <w:spacing w:after="120"/>
              <w:rPr>
                <w:rFonts w:cs="Times New Roman"/>
              </w:rPr>
            </w:pPr>
            <w:r w:rsidRPr="00760A5C">
              <w:rPr>
                <w:rFonts w:cs="Times New Roman"/>
              </w:rPr>
              <w:t>juhib president</w:t>
            </w:r>
          </w:p>
          <w:p w14:paraId="11DBBA75" w14:textId="77777777" w:rsidR="006F2066" w:rsidRPr="00760A5C" w:rsidRDefault="006F2066" w:rsidP="006F2066">
            <w:pPr>
              <w:pStyle w:val="Loendilik"/>
              <w:numPr>
                <w:ilvl w:val="0"/>
                <w:numId w:val="11"/>
              </w:numPr>
              <w:spacing w:after="120"/>
              <w:rPr>
                <w:rFonts w:cs="Times New Roman"/>
              </w:rPr>
            </w:pPr>
            <w:r w:rsidRPr="00760A5C">
              <w:rPr>
                <w:rFonts w:cs="Times New Roman"/>
              </w:rPr>
              <w:t xml:space="preserve">igasse piirkonda on määratud ametisse 1 kohtunik (v.a Dublin, kus neid on 10 ja </w:t>
            </w:r>
            <w:proofErr w:type="spellStart"/>
            <w:r w:rsidRPr="00760A5C">
              <w:rPr>
                <w:rFonts w:cs="Times New Roman"/>
              </w:rPr>
              <w:t>Cork</w:t>
            </w:r>
            <w:proofErr w:type="spellEnd"/>
            <w:r w:rsidRPr="00760A5C">
              <w:rPr>
                <w:rFonts w:cs="Times New Roman"/>
              </w:rPr>
              <w:t>, kus neid on 3)</w:t>
            </w:r>
          </w:p>
          <w:p w14:paraId="358CC763" w14:textId="77777777" w:rsidR="006F2066" w:rsidRPr="00760A5C" w:rsidRDefault="006F2066" w:rsidP="006F2066">
            <w:pPr>
              <w:pStyle w:val="Loendilik"/>
              <w:numPr>
                <w:ilvl w:val="0"/>
                <w:numId w:val="11"/>
              </w:numPr>
              <w:spacing w:after="120"/>
              <w:rPr>
                <w:rFonts w:cs="Times New Roman"/>
              </w:rPr>
            </w:pPr>
            <w:r w:rsidRPr="00760A5C">
              <w:rPr>
                <w:rFonts w:cs="Times New Roman"/>
              </w:rPr>
              <w:t>istungid toimuvad järjepidevalt ainult 3-s piirkonnas. Teistes piirkondades toimuvad istungid vastavalt istungite kalendrile.</w:t>
            </w:r>
          </w:p>
        </w:tc>
        <w:tc>
          <w:tcPr>
            <w:tcW w:w="4624" w:type="dxa"/>
          </w:tcPr>
          <w:p w14:paraId="74C9F33C" w14:textId="77777777" w:rsidR="006F2066" w:rsidRPr="00760A5C" w:rsidRDefault="006F2066" w:rsidP="00D3593C">
            <w:pPr>
              <w:spacing w:after="120"/>
              <w:contextualSpacing/>
              <w:rPr>
                <w:rFonts w:cs="Times New Roman"/>
              </w:rPr>
            </w:pPr>
            <w:proofErr w:type="spellStart"/>
            <w:r w:rsidRPr="00760A5C">
              <w:rPr>
                <w:rFonts w:cs="Times New Roman"/>
              </w:rPr>
              <w:t>High</w:t>
            </w:r>
            <w:proofErr w:type="spellEnd"/>
            <w:r w:rsidRPr="00760A5C">
              <w:rPr>
                <w:rFonts w:cs="Times New Roman"/>
              </w:rPr>
              <w:t xml:space="preserve"> </w:t>
            </w:r>
            <w:proofErr w:type="spellStart"/>
            <w:r w:rsidRPr="00760A5C">
              <w:rPr>
                <w:rFonts w:cs="Times New Roman"/>
              </w:rPr>
              <w:t>Court</w:t>
            </w:r>
            <w:proofErr w:type="spellEnd"/>
          </w:p>
        </w:tc>
        <w:tc>
          <w:tcPr>
            <w:tcW w:w="2742" w:type="dxa"/>
          </w:tcPr>
          <w:p w14:paraId="02852F93" w14:textId="77777777" w:rsidR="006F2066" w:rsidRPr="00760A5C" w:rsidRDefault="006F2066" w:rsidP="00D3593C">
            <w:pPr>
              <w:spacing w:after="120"/>
              <w:contextualSpacing/>
              <w:rPr>
                <w:rFonts w:cs="Times New Roman"/>
              </w:rPr>
            </w:pPr>
            <w:proofErr w:type="spellStart"/>
            <w:r w:rsidRPr="00760A5C">
              <w:rPr>
                <w:rFonts w:cs="Times New Roman"/>
              </w:rPr>
              <w:t>Court</w:t>
            </w:r>
            <w:proofErr w:type="spellEnd"/>
            <w:r w:rsidRPr="00760A5C">
              <w:rPr>
                <w:rFonts w:cs="Times New Roman"/>
              </w:rPr>
              <w:t xml:space="preserve"> of </w:t>
            </w:r>
            <w:proofErr w:type="spellStart"/>
            <w:r w:rsidRPr="00760A5C">
              <w:rPr>
                <w:rFonts w:cs="Times New Roman"/>
              </w:rPr>
              <w:t>Appeal</w:t>
            </w:r>
            <w:proofErr w:type="spellEnd"/>
          </w:p>
        </w:tc>
      </w:tr>
      <w:tr w:rsidR="006F2066" w:rsidRPr="00760A5C" w14:paraId="2DD287A9" w14:textId="77777777" w:rsidTr="00D3593C">
        <w:trPr>
          <w:trHeight w:val="2543"/>
        </w:trPr>
        <w:tc>
          <w:tcPr>
            <w:tcW w:w="1384" w:type="dxa"/>
            <w:vMerge w:val="restart"/>
          </w:tcPr>
          <w:p w14:paraId="7CC14D04" w14:textId="77777777" w:rsidR="006F2066" w:rsidRPr="00760A5C" w:rsidRDefault="006F2066" w:rsidP="00D3593C">
            <w:pPr>
              <w:spacing w:after="120"/>
              <w:contextualSpacing/>
              <w:rPr>
                <w:rFonts w:cs="Times New Roman"/>
              </w:rPr>
            </w:pPr>
            <w:r w:rsidRPr="00760A5C">
              <w:rPr>
                <w:rFonts w:cs="Times New Roman"/>
              </w:rPr>
              <w:lastRenderedPageBreak/>
              <w:t>Luksemburg</w:t>
            </w:r>
          </w:p>
        </w:tc>
        <w:tc>
          <w:tcPr>
            <w:tcW w:w="3594" w:type="dxa"/>
          </w:tcPr>
          <w:p w14:paraId="1EB47B81" w14:textId="77777777" w:rsidR="006F2066" w:rsidRPr="00760A5C" w:rsidRDefault="006F2066" w:rsidP="00D3593C">
            <w:pPr>
              <w:spacing w:after="120"/>
              <w:rPr>
                <w:rFonts w:cs="Times New Roman"/>
              </w:rPr>
            </w:pPr>
            <w:r w:rsidRPr="00760A5C">
              <w:rPr>
                <w:rFonts w:cs="Times New Roman"/>
              </w:rPr>
              <w:t>3 piirkondlikku rahukohut, mis jagunevad:</w:t>
            </w:r>
          </w:p>
          <w:p w14:paraId="0CF2D0D1"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rahutribunal (vähemolulised tsiviil ja kaubandusasjad)</w:t>
            </w:r>
          </w:p>
          <w:p w14:paraId="5A41AA4E"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töötribunal</w:t>
            </w:r>
          </w:p>
          <w:p w14:paraId="242F5E03"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politseitribunal- väiksemad ja keskmise raskusega õigusrikkumised</w:t>
            </w:r>
          </w:p>
          <w:p w14:paraId="48364D3D"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teatud juhtudel on võimalik otsust apelleerida ka III kohtuastmesse</w:t>
            </w:r>
          </w:p>
          <w:p w14:paraId="663E072F"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3 kohtumaja</w:t>
            </w:r>
          </w:p>
          <w:p w14:paraId="74A670BC"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koosseis: rahukohtu peakohtunik (juge de </w:t>
            </w:r>
            <w:proofErr w:type="spellStart"/>
            <w:r w:rsidRPr="00760A5C">
              <w:rPr>
                <w:rFonts w:cs="Times New Roman"/>
              </w:rPr>
              <w:t>paix</w:t>
            </w:r>
            <w:proofErr w:type="spellEnd"/>
            <w:r w:rsidRPr="00760A5C">
              <w:rPr>
                <w:rFonts w:cs="Times New Roman"/>
              </w:rPr>
              <w:t xml:space="preserve"> </w:t>
            </w:r>
            <w:proofErr w:type="spellStart"/>
            <w:r w:rsidRPr="00760A5C">
              <w:rPr>
                <w:rFonts w:cs="Times New Roman"/>
              </w:rPr>
              <w:t>directeur</w:t>
            </w:r>
            <w:proofErr w:type="spellEnd"/>
            <w:r w:rsidRPr="00760A5C">
              <w:rPr>
                <w:rFonts w:cs="Times New Roman"/>
              </w:rPr>
              <w:t>), 1-2 rahukohtu peakohtuniku asetäitjat ja vastavalt piirkonnale 3-15 rahukohtunikku, kes täidavad erinevaid funktsioone</w:t>
            </w:r>
          </w:p>
        </w:tc>
        <w:tc>
          <w:tcPr>
            <w:tcW w:w="3391" w:type="dxa"/>
          </w:tcPr>
          <w:p w14:paraId="303FD442" w14:textId="77777777" w:rsidR="006F2066" w:rsidRPr="00760A5C" w:rsidRDefault="006F2066" w:rsidP="00D3593C">
            <w:pPr>
              <w:spacing w:after="120"/>
              <w:contextualSpacing/>
              <w:rPr>
                <w:rFonts w:cs="Times New Roman"/>
              </w:rPr>
            </w:pPr>
            <w:r w:rsidRPr="00760A5C">
              <w:rPr>
                <w:rFonts w:cs="Times New Roman"/>
              </w:rPr>
              <w:t>2 piirkondlikku tribunali (</w:t>
            </w:r>
            <w:proofErr w:type="spellStart"/>
            <w:r w:rsidRPr="00760A5C">
              <w:rPr>
                <w:rFonts w:cs="Times New Roman"/>
              </w:rPr>
              <w:t>tribunaux</w:t>
            </w:r>
            <w:proofErr w:type="spellEnd"/>
            <w:r w:rsidRPr="00760A5C">
              <w:rPr>
                <w:rFonts w:cs="Times New Roman"/>
              </w:rPr>
              <w:t xml:space="preserve"> </w:t>
            </w:r>
            <w:proofErr w:type="spellStart"/>
            <w:r w:rsidRPr="00760A5C">
              <w:rPr>
                <w:rFonts w:cs="Times New Roman"/>
              </w:rPr>
              <w:t>d’Arrondissement</w:t>
            </w:r>
            <w:proofErr w:type="spellEnd"/>
            <w:r w:rsidRPr="00760A5C">
              <w:rPr>
                <w:rFonts w:cs="Times New Roman"/>
              </w:rPr>
              <w:t>)</w:t>
            </w:r>
          </w:p>
          <w:p w14:paraId="1BBEBA7A"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apellatsioonikohus</w:t>
            </w:r>
          </w:p>
          <w:p w14:paraId="7F048D45"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2 kohtupiirkonda (</w:t>
            </w:r>
            <w:proofErr w:type="spellStart"/>
            <w:r w:rsidRPr="00760A5C">
              <w:rPr>
                <w:rFonts w:cs="Times New Roman"/>
              </w:rPr>
              <w:t>arrondissements</w:t>
            </w:r>
            <w:proofErr w:type="spellEnd"/>
            <w:r w:rsidRPr="00760A5C">
              <w:rPr>
                <w:rFonts w:cs="Times New Roman"/>
              </w:rPr>
              <w:t xml:space="preserve"> </w:t>
            </w:r>
            <w:proofErr w:type="spellStart"/>
            <w:r w:rsidRPr="00760A5C">
              <w:rPr>
                <w:rFonts w:cs="Times New Roman"/>
              </w:rPr>
              <w:t>judiciaires</w:t>
            </w:r>
            <w:proofErr w:type="spellEnd"/>
            <w:r w:rsidRPr="00760A5C">
              <w:rPr>
                <w:rFonts w:cs="Times New Roman"/>
              </w:rPr>
              <w:t>). mõlemas tegutseb piirkondlik kohus</w:t>
            </w:r>
          </w:p>
          <w:p w14:paraId="6CAC7DAF"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tegeleb I kohtuinstantsina tema ainupädevusse antud asjadega. </w:t>
            </w:r>
          </w:p>
          <w:p w14:paraId="305E98E3"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jagunevad vastavalt vajadusele kodadeks. igas kojas 3 kohtunikku</w:t>
            </w:r>
          </w:p>
        </w:tc>
        <w:tc>
          <w:tcPr>
            <w:tcW w:w="4624" w:type="dxa"/>
          </w:tcPr>
          <w:p w14:paraId="381C0F1D" w14:textId="77777777" w:rsidR="006F2066" w:rsidRPr="00760A5C" w:rsidRDefault="006F2066" w:rsidP="00D3593C">
            <w:pPr>
              <w:spacing w:after="120"/>
              <w:contextualSpacing/>
              <w:rPr>
                <w:rFonts w:cs="Times New Roman"/>
              </w:rPr>
            </w:pPr>
            <w:r w:rsidRPr="00760A5C">
              <w:rPr>
                <w:rFonts w:cs="Times New Roman"/>
              </w:rPr>
              <w:t>kõrgeim kohus (</w:t>
            </w:r>
            <w:proofErr w:type="spellStart"/>
            <w:r w:rsidRPr="00760A5C">
              <w:rPr>
                <w:rFonts w:cs="Times New Roman"/>
              </w:rPr>
              <w:t>Cour</w:t>
            </w:r>
            <w:proofErr w:type="spellEnd"/>
            <w:r w:rsidRPr="00760A5C">
              <w:rPr>
                <w:rFonts w:cs="Times New Roman"/>
              </w:rPr>
              <w:t xml:space="preserve"> </w:t>
            </w:r>
            <w:proofErr w:type="spellStart"/>
            <w:r w:rsidRPr="00760A5C">
              <w:rPr>
                <w:rFonts w:cs="Times New Roman"/>
              </w:rPr>
              <w:t>Supérieure</w:t>
            </w:r>
            <w:proofErr w:type="spellEnd"/>
            <w:r w:rsidRPr="00760A5C">
              <w:rPr>
                <w:rFonts w:cs="Times New Roman"/>
              </w:rPr>
              <w:t xml:space="preserve"> de </w:t>
            </w:r>
            <w:proofErr w:type="spellStart"/>
            <w:r w:rsidRPr="00760A5C">
              <w:rPr>
                <w:rFonts w:cs="Times New Roman"/>
              </w:rPr>
              <w:t>Justice</w:t>
            </w:r>
            <w:proofErr w:type="spellEnd"/>
            <w:r w:rsidRPr="00760A5C">
              <w:rPr>
                <w:rFonts w:cs="Times New Roman"/>
              </w:rPr>
              <w:t>)</w:t>
            </w:r>
          </w:p>
          <w:p w14:paraId="277C8C6D" w14:textId="77777777" w:rsidR="006F2066" w:rsidRPr="00760A5C" w:rsidRDefault="006F2066" w:rsidP="006F2066">
            <w:pPr>
              <w:numPr>
                <w:ilvl w:val="0"/>
                <w:numId w:val="11"/>
              </w:numPr>
              <w:spacing w:after="120"/>
              <w:contextualSpacing/>
              <w:jc w:val="both"/>
              <w:rPr>
                <w:rFonts w:cs="Times New Roman"/>
              </w:rPr>
            </w:pPr>
            <w:proofErr w:type="spellStart"/>
            <w:r w:rsidRPr="00760A5C">
              <w:rPr>
                <w:rFonts w:cs="Times New Roman"/>
              </w:rPr>
              <w:t>kassatsioonikohus+apellatsioonikohus</w:t>
            </w:r>
            <w:proofErr w:type="spellEnd"/>
            <w:r w:rsidRPr="00760A5C">
              <w:rPr>
                <w:rFonts w:cs="Times New Roman"/>
              </w:rPr>
              <w:t xml:space="preserve"> </w:t>
            </w:r>
          </w:p>
        </w:tc>
        <w:tc>
          <w:tcPr>
            <w:tcW w:w="2742" w:type="dxa"/>
            <w:vMerge w:val="restart"/>
          </w:tcPr>
          <w:p w14:paraId="7023F09C"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44962465" w14:textId="77777777" w:rsidTr="00D3593C">
        <w:trPr>
          <w:trHeight w:val="2542"/>
        </w:trPr>
        <w:tc>
          <w:tcPr>
            <w:tcW w:w="1384" w:type="dxa"/>
            <w:vMerge/>
          </w:tcPr>
          <w:p w14:paraId="00AB22F5" w14:textId="77777777" w:rsidR="006F2066" w:rsidRPr="00760A5C" w:rsidRDefault="006F2066" w:rsidP="00D3593C">
            <w:pPr>
              <w:spacing w:after="120"/>
              <w:contextualSpacing/>
              <w:rPr>
                <w:rFonts w:cs="Times New Roman"/>
              </w:rPr>
            </w:pPr>
          </w:p>
        </w:tc>
        <w:tc>
          <w:tcPr>
            <w:tcW w:w="3594" w:type="dxa"/>
          </w:tcPr>
          <w:p w14:paraId="4068CC33" w14:textId="77777777" w:rsidR="006F2066" w:rsidRPr="00760A5C" w:rsidRDefault="006F2066" w:rsidP="00D3593C">
            <w:pPr>
              <w:spacing w:after="120"/>
              <w:rPr>
                <w:rFonts w:cs="Times New Roman"/>
              </w:rPr>
            </w:pPr>
            <w:r w:rsidRPr="00760A5C">
              <w:rPr>
                <w:rFonts w:cs="Times New Roman"/>
              </w:rPr>
              <w:t>haldus tribunal (</w:t>
            </w:r>
            <w:proofErr w:type="spellStart"/>
            <w:r w:rsidRPr="00760A5C">
              <w:rPr>
                <w:rFonts w:cs="Times New Roman"/>
              </w:rPr>
              <w:t>administrative</w:t>
            </w:r>
            <w:proofErr w:type="spellEnd"/>
            <w:r w:rsidRPr="00760A5C">
              <w:rPr>
                <w:rFonts w:cs="Times New Roman"/>
              </w:rPr>
              <w:t xml:space="preserve"> tribunal)</w:t>
            </w:r>
          </w:p>
        </w:tc>
        <w:tc>
          <w:tcPr>
            <w:tcW w:w="3391" w:type="dxa"/>
          </w:tcPr>
          <w:p w14:paraId="0F6E870A" w14:textId="77777777" w:rsidR="006F2066" w:rsidRPr="00760A5C" w:rsidRDefault="006F2066" w:rsidP="00D3593C">
            <w:pPr>
              <w:spacing w:after="120"/>
              <w:contextualSpacing/>
              <w:rPr>
                <w:rFonts w:cs="Times New Roman"/>
              </w:rPr>
            </w:pPr>
            <w:r w:rsidRPr="00760A5C">
              <w:rPr>
                <w:rFonts w:cs="Times New Roman"/>
              </w:rPr>
              <w:t>halduskohus</w:t>
            </w:r>
          </w:p>
        </w:tc>
        <w:tc>
          <w:tcPr>
            <w:tcW w:w="4624" w:type="dxa"/>
          </w:tcPr>
          <w:p w14:paraId="1E3F46A7" w14:textId="77777777" w:rsidR="006F2066" w:rsidRPr="00760A5C" w:rsidRDefault="006F2066" w:rsidP="00D3593C">
            <w:pPr>
              <w:spacing w:after="120"/>
              <w:contextualSpacing/>
              <w:rPr>
                <w:rFonts w:cs="Times New Roman"/>
              </w:rPr>
            </w:pPr>
            <w:r w:rsidRPr="00760A5C">
              <w:rPr>
                <w:rFonts w:cs="Times New Roman"/>
              </w:rPr>
              <w:t>konstitutsioonikohus</w:t>
            </w:r>
          </w:p>
        </w:tc>
        <w:tc>
          <w:tcPr>
            <w:tcW w:w="2742" w:type="dxa"/>
            <w:vMerge/>
          </w:tcPr>
          <w:p w14:paraId="7C863B19"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122EC348" w14:textId="77777777" w:rsidTr="00D3593C">
        <w:trPr>
          <w:trHeight w:val="1134"/>
        </w:trPr>
        <w:tc>
          <w:tcPr>
            <w:tcW w:w="1384" w:type="dxa"/>
          </w:tcPr>
          <w:p w14:paraId="4EFF0956" w14:textId="77777777" w:rsidR="006F2066" w:rsidRPr="00760A5C" w:rsidRDefault="006F2066" w:rsidP="00D3593C">
            <w:pPr>
              <w:spacing w:after="120"/>
              <w:contextualSpacing/>
              <w:rPr>
                <w:rFonts w:cs="Times New Roman"/>
              </w:rPr>
            </w:pPr>
            <w:r w:rsidRPr="00760A5C">
              <w:rPr>
                <w:rFonts w:cs="Times New Roman"/>
              </w:rPr>
              <w:lastRenderedPageBreak/>
              <w:t>Taani</w:t>
            </w:r>
          </w:p>
        </w:tc>
        <w:tc>
          <w:tcPr>
            <w:tcW w:w="3594" w:type="dxa"/>
          </w:tcPr>
          <w:p w14:paraId="29160F7F" w14:textId="77777777" w:rsidR="006F2066" w:rsidRPr="00760A5C" w:rsidRDefault="006F2066" w:rsidP="00D3593C">
            <w:pPr>
              <w:spacing w:after="120"/>
              <w:rPr>
                <w:rFonts w:cs="Times New Roman"/>
              </w:rPr>
            </w:pPr>
            <w:r w:rsidRPr="00760A5C">
              <w:rPr>
                <w:rFonts w:cs="Times New Roman"/>
              </w:rPr>
              <w:t>I astme kohtud</w:t>
            </w:r>
          </w:p>
          <w:p w14:paraId="4E5D3A27"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24 kohtupiirkonda, millest igaühel on oma eraldiseisev kohus</w:t>
            </w:r>
          </w:p>
          <w:p w14:paraId="698CBACA"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igal kohtul oma kohtumaja</w:t>
            </w:r>
          </w:p>
        </w:tc>
        <w:tc>
          <w:tcPr>
            <w:tcW w:w="3391" w:type="dxa"/>
          </w:tcPr>
          <w:p w14:paraId="56E6C24E" w14:textId="77777777" w:rsidR="006F2066" w:rsidRPr="00760A5C" w:rsidRDefault="006F2066" w:rsidP="00D3593C">
            <w:pPr>
              <w:spacing w:after="120"/>
              <w:contextualSpacing/>
              <w:rPr>
                <w:rFonts w:cs="Times New Roman"/>
              </w:rPr>
            </w:pPr>
            <w:r w:rsidRPr="00760A5C">
              <w:rPr>
                <w:rFonts w:cs="Times New Roman"/>
              </w:rPr>
              <w:t>2 kõrgemat kohut</w:t>
            </w:r>
          </w:p>
          <w:p w14:paraId="6DB90BE4"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riik jagatud kaheks kohtupiirkonnaks</w:t>
            </w:r>
          </w:p>
          <w:p w14:paraId="6F0A16B2"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apellatsioonikohtud</w:t>
            </w:r>
          </w:p>
        </w:tc>
        <w:tc>
          <w:tcPr>
            <w:tcW w:w="4624" w:type="dxa"/>
          </w:tcPr>
          <w:p w14:paraId="7115A804" w14:textId="77777777" w:rsidR="006F2066" w:rsidRPr="00760A5C" w:rsidRDefault="006F2066" w:rsidP="00D3593C">
            <w:pPr>
              <w:spacing w:after="120"/>
              <w:contextualSpacing/>
              <w:rPr>
                <w:rFonts w:cs="Times New Roman"/>
              </w:rPr>
            </w:pPr>
            <w:r w:rsidRPr="00760A5C">
              <w:rPr>
                <w:rFonts w:cs="Times New Roman"/>
              </w:rPr>
              <w:t>kõrgeim kohus</w:t>
            </w:r>
          </w:p>
        </w:tc>
        <w:tc>
          <w:tcPr>
            <w:tcW w:w="2742" w:type="dxa"/>
          </w:tcPr>
          <w:p w14:paraId="66DB9D4F"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673AE570" w14:textId="77777777" w:rsidTr="00D3593C">
        <w:trPr>
          <w:trHeight w:val="2542"/>
        </w:trPr>
        <w:tc>
          <w:tcPr>
            <w:tcW w:w="1384" w:type="dxa"/>
          </w:tcPr>
          <w:p w14:paraId="270663FE" w14:textId="77777777" w:rsidR="006F2066" w:rsidRPr="00760A5C" w:rsidRDefault="006F2066" w:rsidP="00D3593C">
            <w:pPr>
              <w:spacing w:after="120"/>
              <w:contextualSpacing/>
              <w:rPr>
                <w:rFonts w:cs="Times New Roman"/>
              </w:rPr>
            </w:pPr>
            <w:r w:rsidRPr="00760A5C">
              <w:rPr>
                <w:rFonts w:cs="Times New Roman"/>
              </w:rPr>
              <w:t>Island</w:t>
            </w:r>
          </w:p>
        </w:tc>
        <w:tc>
          <w:tcPr>
            <w:tcW w:w="3594" w:type="dxa"/>
          </w:tcPr>
          <w:p w14:paraId="3B36E203" w14:textId="77777777" w:rsidR="006F2066" w:rsidRPr="00760A5C" w:rsidRDefault="006F2066" w:rsidP="00D3593C">
            <w:pPr>
              <w:spacing w:after="120"/>
              <w:rPr>
                <w:rFonts w:cs="Times New Roman"/>
              </w:rPr>
            </w:pPr>
            <w:r w:rsidRPr="00760A5C">
              <w:rPr>
                <w:rFonts w:cs="Times New Roman"/>
              </w:rPr>
              <w:t>I astme kohtud</w:t>
            </w:r>
          </w:p>
          <w:p w14:paraId="438965A8"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8 tükki</w:t>
            </w:r>
          </w:p>
          <w:p w14:paraId="090DAC5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42 kohtunikku</w:t>
            </w:r>
          </w:p>
        </w:tc>
        <w:tc>
          <w:tcPr>
            <w:tcW w:w="3391" w:type="dxa"/>
          </w:tcPr>
          <w:p w14:paraId="6C990B99" w14:textId="77777777" w:rsidR="006F2066" w:rsidRPr="00760A5C" w:rsidRDefault="006F2066" w:rsidP="00D3593C">
            <w:pPr>
              <w:spacing w:after="120"/>
              <w:contextualSpacing/>
              <w:rPr>
                <w:rFonts w:cs="Times New Roman"/>
              </w:rPr>
            </w:pPr>
            <w:r w:rsidRPr="00760A5C">
              <w:rPr>
                <w:rFonts w:cs="Times New Roman"/>
              </w:rPr>
              <w:t>apellatsioonikohus</w:t>
            </w:r>
          </w:p>
          <w:p w14:paraId="465EDACD"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15 kohtunikku</w:t>
            </w:r>
          </w:p>
        </w:tc>
        <w:tc>
          <w:tcPr>
            <w:tcW w:w="4624" w:type="dxa"/>
          </w:tcPr>
          <w:p w14:paraId="3FFCCBCE" w14:textId="77777777" w:rsidR="006F2066" w:rsidRPr="00760A5C" w:rsidRDefault="006F2066" w:rsidP="00D3593C">
            <w:pPr>
              <w:spacing w:after="120"/>
              <w:contextualSpacing/>
              <w:rPr>
                <w:rFonts w:cs="Times New Roman"/>
              </w:rPr>
            </w:pPr>
            <w:r w:rsidRPr="00760A5C">
              <w:rPr>
                <w:rFonts w:cs="Times New Roman"/>
              </w:rPr>
              <w:t>ülemkohus</w:t>
            </w:r>
          </w:p>
          <w:p w14:paraId="602375CD"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7 kohtunikku</w:t>
            </w:r>
          </w:p>
        </w:tc>
        <w:tc>
          <w:tcPr>
            <w:tcW w:w="2742" w:type="dxa"/>
          </w:tcPr>
          <w:p w14:paraId="4B6B1CC1" w14:textId="77777777" w:rsidR="006F2066" w:rsidRPr="00760A5C" w:rsidRDefault="006F2066" w:rsidP="006F2066">
            <w:pPr>
              <w:numPr>
                <w:ilvl w:val="0"/>
                <w:numId w:val="11"/>
              </w:numPr>
              <w:spacing w:after="120"/>
              <w:contextualSpacing/>
              <w:jc w:val="both"/>
              <w:rPr>
                <w:rFonts w:cs="Times New Roman"/>
              </w:rPr>
            </w:pPr>
          </w:p>
        </w:tc>
      </w:tr>
      <w:tr w:rsidR="006F2066" w:rsidRPr="00760A5C" w14:paraId="5F8C7320" w14:textId="77777777" w:rsidTr="00D3593C">
        <w:trPr>
          <w:trHeight w:val="2542"/>
        </w:trPr>
        <w:tc>
          <w:tcPr>
            <w:tcW w:w="1384" w:type="dxa"/>
          </w:tcPr>
          <w:p w14:paraId="5980E4E9" w14:textId="77777777" w:rsidR="006F2066" w:rsidRPr="00760A5C" w:rsidRDefault="006F2066" w:rsidP="00D3593C">
            <w:pPr>
              <w:spacing w:after="120"/>
              <w:contextualSpacing/>
              <w:rPr>
                <w:rFonts w:cs="Times New Roman"/>
              </w:rPr>
            </w:pPr>
            <w:r w:rsidRPr="00760A5C">
              <w:rPr>
                <w:rFonts w:cs="Times New Roman"/>
              </w:rPr>
              <w:t>Uus Meremaa</w:t>
            </w:r>
          </w:p>
        </w:tc>
        <w:tc>
          <w:tcPr>
            <w:tcW w:w="3594" w:type="dxa"/>
          </w:tcPr>
          <w:p w14:paraId="40DA95B6" w14:textId="77777777" w:rsidR="006F2066" w:rsidRPr="00760A5C" w:rsidRDefault="006F2066" w:rsidP="00D3593C">
            <w:pPr>
              <w:spacing w:after="120"/>
              <w:rPr>
                <w:rFonts w:cs="Times New Roman"/>
              </w:rPr>
            </w:pPr>
            <w:r w:rsidRPr="00760A5C">
              <w:rPr>
                <w:rFonts w:cs="Times New Roman"/>
              </w:rPr>
              <w:t xml:space="preserve">I astme kohus (The </w:t>
            </w:r>
            <w:proofErr w:type="spellStart"/>
            <w:r w:rsidRPr="00760A5C">
              <w:rPr>
                <w:rFonts w:cs="Times New Roman"/>
              </w:rPr>
              <w:t>District</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w:t>
            </w:r>
          </w:p>
          <w:p w14:paraId="1CAE4382"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Üks kohus, mis on organiseeritud regionaalsel tasandil</w:t>
            </w:r>
          </w:p>
          <w:p w14:paraId="64608447"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182 alalist kohtunikku</w:t>
            </w:r>
          </w:p>
          <w:p w14:paraId="65BF7E85"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58 kohtumaja</w:t>
            </w:r>
          </w:p>
          <w:p w14:paraId="7E658F47"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valdkonnad: tsiviil- ja kriminaalkohus, perekonnaõiguse kohus, noorte kohus</w:t>
            </w:r>
          </w:p>
          <w:p w14:paraId="19368444"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kohtunikud asuvad alaliselt 25 peamises keskuses (ühes keskuses 1 või rohkem kohtunikku). igal kohtunikul on nn „kodu kohus“ (</w:t>
            </w:r>
            <w:proofErr w:type="spellStart"/>
            <w:r w:rsidRPr="00760A5C">
              <w:rPr>
                <w:rFonts w:cs="Times New Roman"/>
              </w:rPr>
              <w:t>home</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kus nad tegelevad enamike kaasustega, kuid mitmed kohtunikud reisivad </w:t>
            </w:r>
            <w:r w:rsidRPr="00760A5C">
              <w:rPr>
                <w:rFonts w:cs="Times New Roman"/>
              </w:rPr>
              <w:lastRenderedPageBreak/>
              <w:t>ka väiksematesse kohtutesse istungitele.</w:t>
            </w:r>
          </w:p>
        </w:tc>
        <w:tc>
          <w:tcPr>
            <w:tcW w:w="3391" w:type="dxa"/>
          </w:tcPr>
          <w:p w14:paraId="5B7CE6B7" w14:textId="77777777" w:rsidR="006F2066" w:rsidRPr="00760A5C" w:rsidRDefault="006F2066" w:rsidP="00D3593C">
            <w:pPr>
              <w:spacing w:after="120"/>
              <w:contextualSpacing/>
              <w:rPr>
                <w:rFonts w:cs="Times New Roman"/>
              </w:rPr>
            </w:pPr>
            <w:r w:rsidRPr="00760A5C">
              <w:rPr>
                <w:rFonts w:cs="Times New Roman"/>
              </w:rPr>
              <w:lastRenderedPageBreak/>
              <w:t>kõrgem kohus</w:t>
            </w:r>
          </w:p>
          <w:p w14:paraId="61ABD54B"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tegeleb kõige raskemate tsiviil-, ja kriminaalasjadega</w:t>
            </w:r>
          </w:p>
          <w:p w14:paraId="18227DC8"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19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locations</w:t>
            </w:r>
            <w:proofErr w:type="spellEnd"/>
            <w:r w:rsidRPr="00760A5C">
              <w:rPr>
                <w:rFonts w:cs="Times New Roman"/>
              </w:rPr>
              <w:t xml:space="preserve"> </w:t>
            </w:r>
            <w:proofErr w:type="spellStart"/>
            <w:r w:rsidRPr="00760A5C">
              <w:rPr>
                <w:rFonts w:cs="Times New Roman"/>
              </w:rPr>
              <w:t>throughout</w:t>
            </w:r>
            <w:proofErr w:type="spellEnd"/>
            <w:r w:rsidRPr="00760A5C">
              <w:rPr>
                <w:rFonts w:cs="Times New Roman"/>
              </w:rPr>
              <w:t xml:space="preserve"> New </w:t>
            </w:r>
            <w:proofErr w:type="spellStart"/>
            <w:r w:rsidRPr="00760A5C">
              <w:rPr>
                <w:rFonts w:cs="Times New Roman"/>
              </w:rPr>
              <w:t>Zealand</w:t>
            </w:r>
            <w:proofErr w:type="spellEnd"/>
            <w:r w:rsidRPr="00760A5C">
              <w:rPr>
                <w:rFonts w:cs="Times New Roman"/>
              </w:rPr>
              <w:t xml:space="preserve">. </w:t>
            </w:r>
            <w:proofErr w:type="spellStart"/>
            <w:r w:rsidRPr="00760A5C">
              <w:rPr>
                <w:rFonts w:cs="Times New Roman"/>
              </w:rPr>
              <w:t>Each</w:t>
            </w:r>
            <w:proofErr w:type="spellEnd"/>
            <w:r w:rsidRPr="00760A5C">
              <w:rPr>
                <w:rFonts w:cs="Times New Roman"/>
              </w:rPr>
              <w:t xml:space="preserve"> </w:t>
            </w:r>
            <w:proofErr w:type="spellStart"/>
            <w:r w:rsidRPr="00760A5C">
              <w:rPr>
                <w:rFonts w:cs="Times New Roman"/>
              </w:rPr>
              <w:t>High</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has</w:t>
            </w:r>
            <w:proofErr w:type="spellEnd"/>
            <w:r w:rsidRPr="00760A5C">
              <w:rPr>
                <w:rFonts w:cs="Times New Roman"/>
              </w:rPr>
              <w:t xml:space="preserve"> </w:t>
            </w:r>
            <w:proofErr w:type="spellStart"/>
            <w:r w:rsidRPr="00760A5C">
              <w:rPr>
                <w:rFonts w:cs="Times New Roman"/>
              </w:rPr>
              <w:t>an</w:t>
            </w:r>
            <w:proofErr w:type="spellEnd"/>
            <w:r w:rsidRPr="00760A5C">
              <w:rPr>
                <w:rFonts w:cs="Times New Roman"/>
              </w:rPr>
              <w:t xml:space="preserve"> </w:t>
            </w:r>
            <w:proofErr w:type="spellStart"/>
            <w:r w:rsidRPr="00760A5C">
              <w:rPr>
                <w:rFonts w:cs="Times New Roman"/>
              </w:rPr>
              <w:t>office</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registry</w:t>
            </w:r>
            <w:proofErr w:type="spellEnd"/>
            <w:r w:rsidRPr="00760A5C">
              <w:rPr>
                <w:rFonts w:cs="Times New Roman"/>
              </w:rPr>
              <w:t xml:space="preserve">) </w:t>
            </w:r>
            <w:proofErr w:type="spellStart"/>
            <w:r w:rsidRPr="00760A5C">
              <w:rPr>
                <w:rFonts w:cs="Times New Roman"/>
              </w:rPr>
              <w:t>which</w:t>
            </w:r>
            <w:proofErr w:type="spellEnd"/>
            <w:r w:rsidRPr="00760A5C">
              <w:rPr>
                <w:rFonts w:cs="Times New Roman"/>
              </w:rPr>
              <w:t xml:space="preserve"> </w:t>
            </w:r>
            <w:proofErr w:type="spellStart"/>
            <w:r w:rsidRPr="00760A5C">
              <w:rPr>
                <w:rFonts w:cs="Times New Roman"/>
              </w:rPr>
              <w:t>is</w:t>
            </w:r>
            <w:proofErr w:type="spellEnd"/>
            <w:r w:rsidRPr="00760A5C">
              <w:rPr>
                <w:rFonts w:cs="Times New Roman"/>
              </w:rPr>
              <w:t xml:space="preserve"> </w:t>
            </w:r>
            <w:proofErr w:type="spellStart"/>
            <w:r w:rsidRPr="00760A5C">
              <w:rPr>
                <w:rFonts w:cs="Times New Roman"/>
              </w:rPr>
              <w:t>where</w:t>
            </w:r>
            <w:proofErr w:type="spellEnd"/>
            <w:r w:rsidRPr="00760A5C">
              <w:rPr>
                <w:rFonts w:cs="Times New Roman"/>
              </w:rPr>
              <w:t xml:space="preserve"> </w:t>
            </w:r>
            <w:proofErr w:type="spellStart"/>
            <w:r w:rsidRPr="00760A5C">
              <w:rPr>
                <w:rFonts w:cs="Times New Roman"/>
              </w:rPr>
              <w:t>applications</w:t>
            </w:r>
            <w:proofErr w:type="spellEnd"/>
            <w:r w:rsidRPr="00760A5C">
              <w:rPr>
                <w:rFonts w:cs="Times New Roman"/>
              </w:rPr>
              <w:t xml:space="preserve"> </w:t>
            </w:r>
            <w:proofErr w:type="spellStart"/>
            <w:r w:rsidRPr="00760A5C">
              <w:rPr>
                <w:rFonts w:cs="Times New Roman"/>
              </w:rPr>
              <w:t>for</w:t>
            </w:r>
            <w:proofErr w:type="spellEnd"/>
            <w:r w:rsidRPr="00760A5C">
              <w:rPr>
                <w:rFonts w:cs="Times New Roman"/>
              </w:rPr>
              <w:t xml:space="preserve"> </w:t>
            </w:r>
            <w:proofErr w:type="spellStart"/>
            <w:r w:rsidRPr="00760A5C">
              <w:rPr>
                <w:rFonts w:cs="Times New Roman"/>
              </w:rPr>
              <w:t>the</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are </w:t>
            </w:r>
            <w:proofErr w:type="spellStart"/>
            <w:r w:rsidRPr="00760A5C">
              <w:rPr>
                <w:rFonts w:cs="Times New Roman"/>
              </w:rPr>
              <w:t>received</w:t>
            </w:r>
            <w:proofErr w:type="spellEnd"/>
            <w:r w:rsidRPr="00760A5C">
              <w:rPr>
                <w:rFonts w:cs="Times New Roman"/>
              </w:rPr>
              <w:t>.</w:t>
            </w:r>
          </w:p>
          <w:p w14:paraId="7E402BD5"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kõrgeim aste kust kohtutee võib alata. </w:t>
            </w:r>
          </w:p>
          <w:p w14:paraId="7EDE83D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madalamate kohtute suhtes apellatsioonikohus</w:t>
            </w:r>
          </w:p>
          <w:p w14:paraId="39749384"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The </w:t>
            </w:r>
            <w:proofErr w:type="spellStart"/>
            <w:r w:rsidRPr="00760A5C">
              <w:rPr>
                <w:rFonts w:cs="Times New Roman"/>
              </w:rPr>
              <w:t>High</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is</w:t>
            </w:r>
            <w:proofErr w:type="spellEnd"/>
            <w:r w:rsidRPr="00760A5C">
              <w:rPr>
                <w:rFonts w:cs="Times New Roman"/>
              </w:rPr>
              <w:t xml:space="preserve"> a </w:t>
            </w:r>
            <w:proofErr w:type="spellStart"/>
            <w:r w:rsidRPr="00760A5C">
              <w:rPr>
                <w:rFonts w:cs="Times New Roman"/>
              </w:rPr>
              <w:t>single</w:t>
            </w:r>
            <w:proofErr w:type="spellEnd"/>
            <w:r w:rsidRPr="00760A5C">
              <w:rPr>
                <w:rFonts w:cs="Times New Roman"/>
              </w:rPr>
              <w:t xml:space="preserve"> </w:t>
            </w:r>
            <w:proofErr w:type="spellStart"/>
            <w:r w:rsidRPr="00760A5C">
              <w:rPr>
                <w:rFonts w:cs="Times New Roman"/>
              </w:rPr>
              <w:t>national</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which</w:t>
            </w:r>
            <w:proofErr w:type="spellEnd"/>
            <w:r w:rsidRPr="00760A5C">
              <w:rPr>
                <w:rFonts w:cs="Times New Roman"/>
              </w:rPr>
              <w:t xml:space="preserve"> sits </w:t>
            </w:r>
            <w:r w:rsidRPr="00760A5C">
              <w:rPr>
                <w:rFonts w:cs="Times New Roman"/>
              </w:rPr>
              <w:lastRenderedPageBreak/>
              <w:t xml:space="preserve">in </w:t>
            </w:r>
            <w:proofErr w:type="spellStart"/>
            <w:r w:rsidRPr="00760A5C">
              <w:rPr>
                <w:rFonts w:cs="Times New Roman"/>
              </w:rPr>
              <w:t>several</w:t>
            </w:r>
            <w:proofErr w:type="spellEnd"/>
            <w:r w:rsidRPr="00760A5C">
              <w:rPr>
                <w:rFonts w:cs="Times New Roman"/>
              </w:rPr>
              <w:t xml:space="preserve"> </w:t>
            </w:r>
            <w:proofErr w:type="spellStart"/>
            <w:r w:rsidRPr="00760A5C">
              <w:rPr>
                <w:rFonts w:cs="Times New Roman"/>
              </w:rPr>
              <w:t>courthouses</w:t>
            </w:r>
            <w:proofErr w:type="spellEnd"/>
            <w:r w:rsidRPr="00760A5C">
              <w:rPr>
                <w:rFonts w:cs="Times New Roman"/>
              </w:rPr>
              <w:t xml:space="preserve"> in </w:t>
            </w:r>
            <w:proofErr w:type="spellStart"/>
            <w:r w:rsidRPr="00760A5C">
              <w:rPr>
                <w:rFonts w:cs="Times New Roman"/>
              </w:rPr>
              <w:t>different</w:t>
            </w:r>
            <w:proofErr w:type="spellEnd"/>
            <w:r w:rsidRPr="00760A5C">
              <w:rPr>
                <w:rFonts w:cs="Times New Roman"/>
              </w:rPr>
              <w:t xml:space="preserve"> parts of </w:t>
            </w:r>
            <w:proofErr w:type="spellStart"/>
            <w:r w:rsidRPr="00760A5C">
              <w:rPr>
                <w:rFonts w:cs="Times New Roman"/>
              </w:rPr>
              <w:t>the</w:t>
            </w:r>
            <w:proofErr w:type="spellEnd"/>
            <w:r w:rsidRPr="00760A5C">
              <w:rPr>
                <w:rFonts w:cs="Times New Roman"/>
              </w:rPr>
              <w:t xml:space="preserve"> </w:t>
            </w:r>
            <w:proofErr w:type="spellStart"/>
            <w:r w:rsidRPr="00760A5C">
              <w:rPr>
                <w:rFonts w:cs="Times New Roman"/>
              </w:rPr>
              <w:t>country</w:t>
            </w:r>
            <w:proofErr w:type="spellEnd"/>
            <w:r w:rsidRPr="00760A5C">
              <w:rPr>
                <w:rFonts w:cs="Times New Roman"/>
              </w:rPr>
              <w:t xml:space="preserve">. </w:t>
            </w:r>
          </w:p>
          <w:p w14:paraId="484C02A6"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 xml:space="preserve">The </w:t>
            </w:r>
            <w:proofErr w:type="spellStart"/>
            <w:r w:rsidRPr="00760A5C">
              <w:rPr>
                <w:rFonts w:cs="Times New Roman"/>
              </w:rPr>
              <w:t>work</w:t>
            </w:r>
            <w:proofErr w:type="spellEnd"/>
            <w:r w:rsidRPr="00760A5C">
              <w:rPr>
                <w:rFonts w:cs="Times New Roman"/>
              </w:rPr>
              <w:t xml:space="preserve"> of </w:t>
            </w:r>
            <w:proofErr w:type="spellStart"/>
            <w:r w:rsidRPr="00760A5C">
              <w:rPr>
                <w:rFonts w:cs="Times New Roman"/>
              </w:rPr>
              <w:t>the</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is</w:t>
            </w:r>
            <w:proofErr w:type="spellEnd"/>
            <w:r w:rsidRPr="00760A5C">
              <w:rPr>
                <w:rFonts w:cs="Times New Roman"/>
              </w:rPr>
              <w:t xml:space="preserve"> </w:t>
            </w:r>
            <w:proofErr w:type="spellStart"/>
            <w:r w:rsidRPr="00760A5C">
              <w:rPr>
                <w:rFonts w:cs="Times New Roman"/>
              </w:rPr>
              <w:t>organised</w:t>
            </w:r>
            <w:proofErr w:type="spellEnd"/>
            <w:r w:rsidRPr="00760A5C">
              <w:rPr>
                <w:rFonts w:cs="Times New Roman"/>
              </w:rPr>
              <w:t xml:space="preserve"> </w:t>
            </w:r>
            <w:proofErr w:type="spellStart"/>
            <w:r w:rsidRPr="00760A5C">
              <w:rPr>
                <w:rFonts w:cs="Times New Roman"/>
              </w:rPr>
              <w:t>nationally</w:t>
            </w:r>
            <w:proofErr w:type="spellEnd"/>
            <w:r w:rsidRPr="00760A5C">
              <w:rPr>
                <w:rFonts w:cs="Times New Roman"/>
              </w:rPr>
              <w:t xml:space="preserve"> by </w:t>
            </w:r>
            <w:proofErr w:type="spellStart"/>
            <w:r w:rsidRPr="00760A5C">
              <w:rPr>
                <w:rFonts w:cs="Times New Roman"/>
              </w:rPr>
              <w:t>the</w:t>
            </w:r>
            <w:proofErr w:type="spellEnd"/>
            <w:r w:rsidRPr="00760A5C">
              <w:rPr>
                <w:rFonts w:cs="Times New Roman"/>
              </w:rPr>
              <w:t xml:space="preserve"> </w:t>
            </w:r>
            <w:proofErr w:type="spellStart"/>
            <w:r w:rsidRPr="00760A5C">
              <w:rPr>
                <w:rFonts w:cs="Times New Roman"/>
              </w:rPr>
              <w:t>Chief</w:t>
            </w:r>
            <w:proofErr w:type="spellEnd"/>
            <w:r w:rsidRPr="00760A5C">
              <w:rPr>
                <w:rFonts w:cs="Times New Roman"/>
              </w:rPr>
              <w:t xml:space="preserve"> </w:t>
            </w:r>
            <w:proofErr w:type="spellStart"/>
            <w:r w:rsidRPr="00760A5C">
              <w:rPr>
                <w:rFonts w:cs="Times New Roman"/>
              </w:rPr>
              <w:t>High</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Judge</w:t>
            </w:r>
            <w:proofErr w:type="spellEnd"/>
            <w:r w:rsidRPr="00760A5C">
              <w:rPr>
                <w:rFonts w:cs="Times New Roman"/>
              </w:rPr>
              <w:t xml:space="preserve"> </w:t>
            </w:r>
            <w:proofErr w:type="spellStart"/>
            <w:r w:rsidRPr="00760A5C">
              <w:rPr>
                <w:rFonts w:cs="Times New Roman"/>
              </w:rPr>
              <w:t>to</w:t>
            </w:r>
            <w:proofErr w:type="spellEnd"/>
            <w:r w:rsidRPr="00760A5C">
              <w:rPr>
                <w:rFonts w:cs="Times New Roman"/>
              </w:rPr>
              <w:t xml:space="preserve"> </w:t>
            </w:r>
            <w:proofErr w:type="spellStart"/>
            <w:r w:rsidRPr="00760A5C">
              <w:rPr>
                <w:rFonts w:cs="Times New Roman"/>
              </w:rPr>
              <w:t>ensure</w:t>
            </w:r>
            <w:proofErr w:type="spellEnd"/>
            <w:r w:rsidRPr="00760A5C">
              <w:rPr>
                <w:rFonts w:cs="Times New Roman"/>
              </w:rPr>
              <w:t xml:space="preserve"> a </w:t>
            </w:r>
            <w:proofErr w:type="spellStart"/>
            <w:r w:rsidRPr="00760A5C">
              <w:rPr>
                <w:rFonts w:cs="Times New Roman"/>
              </w:rPr>
              <w:t>match</w:t>
            </w:r>
            <w:proofErr w:type="spellEnd"/>
            <w:r w:rsidRPr="00760A5C">
              <w:rPr>
                <w:rFonts w:cs="Times New Roman"/>
              </w:rPr>
              <w:t xml:space="preserve"> </w:t>
            </w:r>
            <w:proofErr w:type="spellStart"/>
            <w:r w:rsidRPr="00760A5C">
              <w:rPr>
                <w:rFonts w:cs="Times New Roman"/>
              </w:rPr>
              <w:t>between</w:t>
            </w:r>
            <w:proofErr w:type="spellEnd"/>
            <w:r w:rsidRPr="00760A5C">
              <w:rPr>
                <w:rFonts w:cs="Times New Roman"/>
              </w:rPr>
              <w:t xml:space="preserve"> </w:t>
            </w:r>
            <w:proofErr w:type="spellStart"/>
            <w:r w:rsidRPr="00760A5C">
              <w:rPr>
                <w:rFonts w:cs="Times New Roman"/>
              </w:rPr>
              <w:t>judicial</w:t>
            </w:r>
            <w:proofErr w:type="spellEnd"/>
            <w:r w:rsidRPr="00760A5C">
              <w:rPr>
                <w:rFonts w:cs="Times New Roman"/>
              </w:rPr>
              <w:t xml:space="preserve"> </w:t>
            </w:r>
            <w:proofErr w:type="spellStart"/>
            <w:r w:rsidRPr="00760A5C">
              <w:rPr>
                <w:rFonts w:cs="Times New Roman"/>
              </w:rPr>
              <w:t>resources</w:t>
            </w:r>
            <w:proofErr w:type="spellEnd"/>
            <w:r w:rsidRPr="00760A5C">
              <w:rPr>
                <w:rFonts w:cs="Times New Roman"/>
              </w:rPr>
              <w:t xml:space="preserve"> and </w:t>
            </w:r>
            <w:proofErr w:type="spellStart"/>
            <w:r w:rsidRPr="00760A5C">
              <w:rPr>
                <w:rFonts w:cs="Times New Roman"/>
              </w:rPr>
              <w:t>work</w:t>
            </w:r>
            <w:proofErr w:type="spellEnd"/>
            <w:r w:rsidRPr="00760A5C">
              <w:rPr>
                <w:rFonts w:cs="Times New Roman"/>
              </w:rPr>
              <w:t>.</w:t>
            </w:r>
          </w:p>
          <w:p w14:paraId="270E7006" w14:textId="77777777" w:rsidR="006F2066" w:rsidRPr="00760A5C" w:rsidRDefault="006F2066" w:rsidP="006F2066">
            <w:pPr>
              <w:numPr>
                <w:ilvl w:val="0"/>
                <w:numId w:val="11"/>
              </w:numPr>
              <w:spacing w:after="120"/>
              <w:contextualSpacing/>
              <w:jc w:val="both"/>
              <w:rPr>
                <w:rFonts w:cs="Times New Roman"/>
              </w:rPr>
            </w:pPr>
            <w:proofErr w:type="spellStart"/>
            <w:r w:rsidRPr="00760A5C">
              <w:rPr>
                <w:rFonts w:cs="Times New Roman"/>
              </w:rPr>
              <w:t>High</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judges</w:t>
            </w:r>
            <w:proofErr w:type="spellEnd"/>
            <w:r w:rsidRPr="00760A5C">
              <w:rPr>
                <w:rFonts w:cs="Times New Roman"/>
              </w:rPr>
              <w:t xml:space="preserve"> are </w:t>
            </w:r>
            <w:proofErr w:type="spellStart"/>
            <w:r w:rsidRPr="00760A5C">
              <w:rPr>
                <w:rFonts w:cs="Times New Roman"/>
              </w:rPr>
              <w:t>based</w:t>
            </w:r>
            <w:proofErr w:type="spellEnd"/>
            <w:r w:rsidRPr="00760A5C">
              <w:rPr>
                <w:rFonts w:cs="Times New Roman"/>
              </w:rPr>
              <w:t xml:space="preserve"> in Auckland, Wellington &amp; </w:t>
            </w:r>
            <w:proofErr w:type="spellStart"/>
            <w:r w:rsidRPr="00760A5C">
              <w:rPr>
                <w:rFonts w:cs="Times New Roman"/>
              </w:rPr>
              <w:t>Christchurch</w:t>
            </w:r>
            <w:proofErr w:type="spellEnd"/>
            <w:r w:rsidRPr="00760A5C">
              <w:rPr>
                <w:rFonts w:cs="Times New Roman"/>
              </w:rPr>
              <w:t xml:space="preserve">. </w:t>
            </w:r>
            <w:proofErr w:type="spellStart"/>
            <w:r w:rsidRPr="00760A5C">
              <w:rPr>
                <w:rFonts w:cs="Times New Roman"/>
              </w:rPr>
              <w:t>They</w:t>
            </w:r>
            <w:proofErr w:type="spellEnd"/>
            <w:r w:rsidRPr="00760A5C">
              <w:rPr>
                <w:rFonts w:cs="Times New Roman"/>
              </w:rPr>
              <w:t xml:space="preserve"> </w:t>
            </w:r>
            <w:proofErr w:type="spellStart"/>
            <w:r w:rsidRPr="00760A5C">
              <w:rPr>
                <w:rFonts w:cs="Times New Roman"/>
              </w:rPr>
              <w:t>travel</w:t>
            </w:r>
            <w:proofErr w:type="spellEnd"/>
            <w:r w:rsidRPr="00760A5C">
              <w:rPr>
                <w:rFonts w:cs="Times New Roman"/>
              </w:rPr>
              <w:t xml:space="preserve"> </w:t>
            </w:r>
            <w:proofErr w:type="spellStart"/>
            <w:r w:rsidRPr="00760A5C">
              <w:rPr>
                <w:rFonts w:cs="Times New Roman"/>
              </w:rPr>
              <w:t>to</w:t>
            </w:r>
            <w:proofErr w:type="spellEnd"/>
            <w:r w:rsidRPr="00760A5C">
              <w:rPr>
                <w:rFonts w:cs="Times New Roman"/>
              </w:rPr>
              <w:t xml:space="preserve"> 16 </w:t>
            </w:r>
            <w:proofErr w:type="spellStart"/>
            <w:r w:rsidRPr="00760A5C">
              <w:rPr>
                <w:rFonts w:cs="Times New Roman"/>
              </w:rPr>
              <w:t>other</w:t>
            </w:r>
            <w:proofErr w:type="spellEnd"/>
            <w:r w:rsidRPr="00760A5C">
              <w:rPr>
                <w:rFonts w:cs="Times New Roman"/>
              </w:rPr>
              <w:t xml:space="preserve"> </w:t>
            </w:r>
            <w:proofErr w:type="spellStart"/>
            <w:r w:rsidRPr="00760A5C">
              <w:rPr>
                <w:rFonts w:cs="Times New Roman"/>
              </w:rPr>
              <w:t>combined</w:t>
            </w:r>
            <w:proofErr w:type="spellEnd"/>
            <w:r w:rsidRPr="00760A5C">
              <w:rPr>
                <w:rFonts w:cs="Times New Roman"/>
              </w:rPr>
              <w:t xml:space="preserve"> (I+II aste) </w:t>
            </w:r>
            <w:proofErr w:type="spellStart"/>
            <w:r w:rsidRPr="00760A5C">
              <w:rPr>
                <w:rFonts w:cs="Times New Roman"/>
              </w:rPr>
              <w:t>courts</w:t>
            </w:r>
            <w:proofErr w:type="spellEnd"/>
            <w:r w:rsidRPr="00760A5C">
              <w:rPr>
                <w:rFonts w:cs="Times New Roman"/>
              </w:rPr>
              <w:t xml:space="preserve"> as </w:t>
            </w:r>
            <w:proofErr w:type="spellStart"/>
            <w:r w:rsidRPr="00760A5C">
              <w:rPr>
                <w:rFonts w:cs="Times New Roman"/>
              </w:rPr>
              <w:t>needed</w:t>
            </w:r>
            <w:proofErr w:type="spellEnd"/>
          </w:p>
          <w:p w14:paraId="6FEC6839" w14:textId="77777777" w:rsidR="006F2066" w:rsidRPr="00760A5C" w:rsidRDefault="006F2066" w:rsidP="006F2066">
            <w:pPr>
              <w:numPr>
                <w:ilvl w:val="0"/>
                <w:numId w:val="11"/>
              </w:numPr>
              <w:spacing w:after="120"/>
              <w:contextualSpacing/>
              <w:jc w:val="both"/>
              <w:rPr>
                <w:rFonts w:cs="Times New Roman"/>
              </w:rPr>
            </w:pPr>
          </w:p>
        </w:tc>
        <w:tc>
          <w:tcPr>
            <w:tcW w:w="4624" w:type="dxa"/>
          </w:tcPr>
          <w:p w14:paraId="5B674EF0" w14:textId="77777777" w:rsidR="006F2066" w:rsidRPr="00760A5C" w:rsidRDefault="006F2066" w:rsidP="00D3593C">
            <w:pPr>
              <w:spacing w:after="120"/>
              <w:rPr>
                <w:rFonts w:cs="Times New Roman"/>
              </w:rPr>
            </w:pPr>
            <w:r w:rsidRPr="00760A5C">
              <w:rPr>
                <w:rFonts w:cs="Times New Roman"/>
              </w:rPr>
              <w:lastRenderedPageBreak/>
              <w:t xml:space="preserve">III aste </w:t>
            </w:r>
            <w:proofErr w:type="spellStart"/>
            <w:r w:rsidRPr="00760A5C">
              <w:rPr>
                <w:rFonts w:cs="Times New Roman"/>
              </w:rPr>
              <w:t>Court</w:t>
            </w:r>
            <w:proofErr w:type="spellEnd"/>
            <w:r w:rsidRPr="00760A5C">
              <w:rPr>
                <w:rFonts w:cs="Times New Roman"/>
              </w:rPr>
              <w:t xml:space="preserve"> of </w:t>
            </w:r>
            <w:proofErr w:type="spellStart"/>
            <w:r w:rsidRPr="00760A5C">
              <w:rPr>
                <w:rFonts w:cs="Times New Roman"/>
              </w:rPr>
              <w:t>Appeal</w:t>
            </w:r>
            <w:proofErr w:type="spellEnd"/>
          </w:p>
          <w:p w14:paraId="254C2D53" w14:textId="77777777" w:rsidR="006F2066" w:rsidRPr="00760A5C" w:rsidRDefault="006F2066" w:rsidP="00D3593C">
            <w:pPr>
              <w:spacing w:after="120"/>
              <w:rPr>
                <w:rFonts w:cs="Times New Roman"/>
              </w:rPr>
            </w:pPr>
            <w:r w:rsidRPr="00760A5C">
              <w:rPr>
                <w:rFonts w:cs="Times New Roman"/>
              </w:rPr>
              <w:t xml:space="preserve">- apellatsioonikohus: tegeleb </w:t>
            </w:r>
            <w:proofErr w:type="spellStart"/>
            <w:r w:rsidRPr="00760A5C">
              <w:rPr>
                <w:rFonts w:cs="Times New Roman"/>
              </w:rPr>
              <w:t>High</w:t>
            </w:r>
            <w:proofErr w:type="spellEnd"/>
            <w:r w:rsidRPr="00760A5C">
              <w:rPr>
                <w:rFonts w:cs="Times New Roman"/>
              </w:rPr>
              <w:t xml:space="preserve"> </w:t>
            </w:r>
            <w:proofErr w:type="spellStart"/>
            <w:r w:rsidRPr="00760A5C">
              <w:rPr>
                <w:rFonts w:cs="Times New Roman"/>
              </w:rPr>
              <w:t>Court’i</w:t>
            </w:r>
            <w:proofErr w:type="spellEnd"/>
            <w:r w:rsidRPr="00760A5C">
              <w:rPr>
                <w:rFonts w:cs="Times New Roman"/>
              </w:rPr>
              <w:t xml:space="preserve"> </w:t>
            </w:r>
            <w:proofErr w:type="spellStart"/>
            <w:r w:rsidRPr="00760A5C">
              <w:rPr>
                <w:rFonts w:cs="Times New Roman"/>
              </w:rPr>
              <w:t>tsiviiil</w:t>
            </w:r>
            <w:proofErr w:type="spellEnd"/>
            <w:r w:rsidRPr="00760A5C">
              <w:rPr>
                <w:rFonts w:cs="Times New Roman"/>
              </w:rPr>
              <w:t xml:space="preserve">- ja kriminaalasjadega ning </w:t>
            </w:r>
            <w:proofErr w:type="spellStart"/>
            <w:r w:rsidRPr="00760A5C">
              <w:rPr>
                <w:rFonts w:cs="Times New Roman"/>
              </w:rPr>
              <w:t>District</w:t>
            </w:r>
            <w:proofErr w:type="spellEnd"/>
            <w:r w:rsidRPr="00760A5C">
              <w:rPr>
                <w:rFonts w:cs="Times New Roman"/>
              </w:rPr>
              <w:t xml:space="preserve"> </w:t>
            </w:r>
            <w:proofErr w:type="spellStart"/>
            <w:r w:rsidRPr="00760A5C">
              <w:rPr>
                <w:rFonts w:cs="Times New Roman"/>
              </w:rPr>
              <w:t>Court’i</w:t>
            </w:r>
            <w:proofErr w:type="spellEnd"/>
            <w:r w:rsidRPr="00760A5C">
              <w:rPr>
                <w:rFonts w:cs="Times New Roman"/>
              </w:rPr>
              <w:t xml:space="preserve"> kriminaalasjadeega</w:t>
            </w:r>
          </w:p>
          <w:p w14:paraId="76737E59" w14:textId="77777777" w:rsidR="006F2066" w:rsidRPr="00760A5C" w:rsidRDefault="006F2066" w:rsidP="00D3593C">
            <w:pPr>
              <w:spacing w:after="120"/>
              <w:rPr>
                <w:rFonts w:cs="Times New Roman"/>
              </w:rPr>
            </w:pPr>
            <w:r w:rsidRPr="00760A5C">
              <w:rPr>
                <w:rFonts w:cs="Times New Roman"/>
              </w:rPr>
              <w:t xml:space="preserve">- 1 </w:t>
            </w:r>
            <w:proofErr w:type="spellStart"/>
            <w:r w:rsidRPr="00760A5C">
              <w:rPr>
                <w:rFonts w:cs="Times New Roman"/>
              </w:rPr>
              <w:t>office</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registry</w:t>
            </w:r>
            <w:proofErr w:type="spellEnd"/>
            <w:r w:rsidRPr="00760A5C">
              <w:rPr>
                <w:rFonts w:cs="Times New Roman"/>
              </w:rPr>
              <w:t>), kuhu taotlus esitada</w:t>
            </w:r>
          </w:p>
          <w:p w14:paraId="47C31B2F" w14:textId="77777777" w:rsidR="006F2066" w:rsidRPr="00760A5C" w:rsidRDefault="006F2066" w:rsidP="00D3593C">
            <w:pPr>
              <w:spacing w:after="120"/>
              <w:rPr>
                <w:rFonts w:cs="Times New Roman"/>
              </w:rPr>
            </w:pPr>
            <w:r w:rsidRPr="00760A5C">
              <w:rPr>
                <w:rFonts w:cs="Times New Roman"/>
              </w:rPr>
              <w:t xml:space="preserve">- kohus asub ametlikult pealinnas, </w:t>
            </w:r>
          </w:p>
          <w:p w14:paraId="22F6C7D9" w14:textId="77777777" w:rsidR="006F2066" w:rsidRPr="00760A5C" w:rsidRDefault="006F2066" w:rsidP="00D3593C">
            <w:pPr>
              <w:spacing w:after="120"/>
              <w:rPr>
                <w:rFonts w:cs="Times New Roman"/>
              </w:rPr>
            </w:pPr>
            <w:r w:rsidRPr="00760A5C">
              <w:rPr>
                <w:rFonts w:cs="Times New Roman"/>
              </w:rPr>
              <w:t>- istungeid peetakse 3-s peamises keskuses</w:t>
            </w:r>
          </w:p>
          <w:p w14:paraId="705D8747" w14:textId="77777777" w:rsidR="006F2066" w:rsidRPr="00760A5C" w:rsidRDefault="006F2066" w:rsidP="00D3593C">
            <w:pPr>
              <w:spacing w:after="120"/>
              <w:contextualSpacing/>
              <w:rPr>
                <w:rFonts w:cs="Times New Roman"/>
              </w:rPr>
            </w:pPr>
            <w:r w:rsidRPr="00760A5C">
              <w:rPr>
                <w:rFonts w:cs="Times New Roman"/>
              </w:rPr>
              <w:t xml:space="preserve">-  </w:t>
            </w:r>
            <w:proofErr w:type="spellStart"/>
            <w:r w:rsidRPr="00760A5C">
              <w:rPr>
                <w:rFonts w:cs="Times New Roman"/>
              </w:rPr>
              <w:t>the</w:t>
            </w:r>
            <w:proofErr w:type="spellEnd"/>
            <w:r w:rsidRPr="00760A5C">
              <w:rPr>
                <w:rFonts w:cs="Times New Roman"/>
              </w:rPr>
              <w:t xml:space="preserve"> </w:t>
            </w:r>
            <w:proofErr w:type="spellStart"/>
            <w:r w:rsidRPr="00760A5C">
              <w:rPr>
                <w:rFonts w:cs="Times New Roman"/>
              </w:rPr>
              <w:t>court</w:t>
            </w:r>
            <w:proofErr w:type="spellEnd"/>
            <w:r w:rsidRPr="00760A5C">
              <w:rPr>
                <w:rFonts w:cs="Times New Roman"/>
              </w:rPr>
              <w:t xml:space="preserve"> </w:t>
            </w:r>
            <w:proofErr w:type="spellStart"/>
            <w:r w:rsidRPr="00760A5C">
              <w:rPr>
                <w:rFonts w:cs="Times New Roman"/>
              </w:rPr>
              <w:t>consists</w:t>
            </w:r>
            <w:proofErr w:type="spellEnd"/>
            <w:r w:rsidRPr="00760A5C">
              <w:rPr>
                <w:rFonts w:cs="Times New Roman"/>
              </w:rPr>
              <w:t xml:space="preserve"> of </w:t>
            </w:r>
            <w:proofErr w:type="spellStart"/>
            <w:r w:rsidRPr="00760A5C">
              <w:rPr>
                <w:rFonts w:cs="Times New Roman"/>
              </w:rPr>
              <w:t>the</w:t>
            </w:r>
            <w:proofErr w:type="spellEnd"/>
            <w:r w:rsidRPr="00760A5C">
              <w:rPr>
                <w:rFonts w:cs="Times New Roman"/>
              </w:rPr>
              <w:t xml:space="preserve"> President and </w:t>
            </w:r>
            <w:proofErr w:type="spellStart"/>
            <w:r w:rsidRPr="00760A5C">
              <w:rPr>
                <w:rFonts w:cs="Times New Roman"/>
              </w:rPr>
              <w:t>nine</w:t>
            </w:r>
            <w:proofErr w:type="spellEnd"/>
            <w:r w:rsidRPr="00760A5C">
              <w:rPr>
                <w:rFonts w:cs="Times New Roman"/>
              </w:rPr>
              <w:t xml:space="preserve"> </w:t>
            </w:r>
            <w:proofErr w:type="spellStart"/>
            <w:r w:rsidRPr="00760A5C">
              <w:rPr>
                <w:rFonts w:cs="Times New Roman"/>
              </w:rPr>
              <w:t>other</w:t>
            </w:r>
            <w:proofErr w:type="spellEnd"/>
            <w:r w:rsidRPr="00760A5C">
              <w:rPr>
                <w:rFonts w:cs="Times New Roman"/>
              </w:rPr>
              <w:t xml:space="preserve"> </w:t>
            </w:r>
            <w:proofErr w:type="spellStart"/>
            <w:r w:rsidRPr="00760A5C">
              <w:rPr>
                <w:rFonts w:cs="Times New Roman"/>
              </w:rPr>
              <w:t>judges</w:t>
            </w:r>
            <w:proofErr w:type="spellEnd"/>
            <w:r w:rsidRPr="00760A5C">
              <w:rPr>
                <w:rFonts w:cs="Times New Roman"/>
              </w:rPr>
              <w:t>.</w:t>
            </w:r>
          </w:p>
        </w:tc>
        <w:tc>
          <w:tcPr>
            <w:tcW w:w="2742" w:type="dxa"/>
          </w:tcPr>
          <w:p w14:paraId="4F1B9884" w14:textId="77777777" w:rsidR="006F2066" w:rsidRPr="00760A5C" w:rsidRDefault="006F2066" w:rsidP="00D3593C">
            <w:pPr>
              <w:spacing w:after="120"/>
              <w:rPr>
                <w:rFonts w:cs="Times New Roman"/>
              </w:rPr>
            </w:pPr>
            <w:r w:rsidRPr="00760A5C">
              <w:rPr>
                <w:rFonts w:cs="Times New Roman"/>
              </w:rPr>
              <w:t xml:space="preserve">IV aste </w:t>
            </w:r>
            <w:proofErr w:type="spellStart"/>
            <w:r w:rsidRPr="00760A5C">
              <w:rPr>
                <w:rFonts w:cs="Times New Roman"/>
              </w:rPr>
              <w:t>Supreme</w:t>
            </w:r>
            <w:proofErr w:type="spellEnd"/>
            <w:r w:rsidRPr="00760A5C">
              <w:rPr>
                <w:rFonts w:cs="Times New Roman"/>
              </w:rPr>
              <w:t xml:space="preserve"> </w:t>
            </w:r>
            <w:proofErr w:type="spellStart"/>
            <w:r w:rsidRPr="00760A5C">
              <w:rPr>
                <w:rFonts w:cs="Times New Roman"/>
              </w:rPr>
              <w:t>Court</w:t>
            </w:r>
            <w:proofErr w:type="spellEnd"/>
          </w:p>
          <w:p w14:paraId="70B6E52E"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viimane apellatsioonikohus asjadele millel on eriti oluline kaal</w:t>
            </w:r>
          </w:p>
          <w:p w14:paraId="3382FEC3" w14:textId="77777777" w:rsidR="006F2066" w:rsidRPr="00760A5C" w:rsidRDefault="006F2066" w:rsidP="006F2066">
            <w:pPr>
              <w:numPr>
                <w:ilvl w:val="0"/>
                <w:numId w:val="11"/>
              </w:numPr>
              <w:spacing w:after="120"/>
              <w:contextualSpacing/>
              <w:jc w:val="both"/>
              <w:rPr>
                <w:rFonts w:cs="Times New Roman"/>
              </w:rPr>
            </w:pPr>
            <w:r w:rsidRPr="00760A5C">
              <w:rPr>
                <w:rFonts w:cs="Times New Roman"/>
              </w:rPr>
              <w:t>vaatab läbi apellatsioonikohtu otsuseid</w:t>
            </w:r>
          </w:p>
          <w:p w14:paraId="43744BCB" w14:textId="77777777" w:rsidR="006F2066" w:rsidRPr="00760A5C" w:rsidRDefault="006F2066" w:rsidP="006F2066">
            <w:pPr>
              <w:numPr>
                <w:ilvl w:val="0"/>
                <w:numId w:val="11"/>
              </w:numPr>
              <w:spacing w:after="120"/>
              <w:contextualSpacing/>
              <w:jc w:val="both"/>
              <w:rPr>
                <w:rFonts w:cs="Times New Roman"/>
              </w:rPr>
            </w:pPr>
          </w:p>
        </w:tc>
      </w:tr>
    </w:tbl>
    <w:p w14:paraId="2A297E4C" w14:textId="77777777" w:rsidR="006F2066" w:rsidRPr="00760A5C" w:rsidRDefault="006F2066" w:rsidP="006F2066">
      <w:pPr>
        <w:spacing w:after="120" w:line="240" w:lineRule="auto"/>
        <w:rPr>
          <w:rFonts w:cs="Times New Roman"/>
        </w:rPr>
      </w:pPr>
    </w:p>
    <w:p w14:paraId="14DF0420" w14:textId="77777777" w:rsidR="006F2066" w:rsidRPr="00760A5C" w:rsidRDefault="006F2066" w:rsidP="006F2066">
      <w:r w:rsidRPr="00760A5C">
        <w:t>IIRIMAA:</w:t>
      </w:r>
    </w:p>
    <w:p w14:paraId="4AAE0349" w14:textId="77777777" w:rsidR="006F2066" w:rsidRPr="00760A5C" w:rsidRDefault="006F2066" w:rsidP="006F2066">
      <w:r w:rsidRPr="00760A5C">
        <w:t xml:space="preserve">Iirimaa kohtujurisdiktsiooni piiride kaart: </w:t>
      </w:r>
      <w:hyperlink r:id="rId10" w:history="1">
        <w:r w:rsidRPr="00760A5C">
          <w:rPr>
            <w:rStyle w:val="Hperlink"/>
          </w:rPr>
          <w:t>https://garda.maps.arcgis.com/apps/instant/sidebar/index.html?appid=119074e9ca7b4a06be2fb88c1ca61309</w:t>
        </w:r>
      </w:hyperlink>
    </w:p>
    <w:p w14:paraId="10C0E230" w14:textId="77777777" w:rsidR="006F2066" w:rsidRPr="00760A5C" w:rsidRDefault="006F2066" w:rsidP="006F2066">
      <w:r w:rsidRPr="00760A5C">
        <w:t xml:space="preserve">Üldist kohtusüsteemist: </w:t>
      </w:r>
      <w:hyperlink r:id="rId11" w:history="1">
        <w:r w:rsidRPr="00760A5C">
          <w:rPr>
            <w:rStyle w:val="Hperlink"/>
          </w:rPr>
          <w:t>https://www.courts.ie/what-courts-do</w:t>
        </w:r>
      </w:hyperlink>
    </w:p>
    <w:p w14:paraId="52B1F6AC" w14:textId="77777777" w:rsidR="006F2066" w:rsidRPr="00760A5C" w:rsidRDefault="006F2066" w:rsidP="006F2066">
      <w:r w:rsidRPr="00760A5C">
        <w:t xml:space="preserve">The </w:t>
      </w:r>
      <w:proofErr w:type="spellStart"/>
      <w:r w:rsidRPr="00760A5C">
        <w:t>District</w:t>
      </w:r>
      <w:proofErr w:type="spellEnd"/>
      <w:r w:rsidRPr="00760A5C">
        <w:t xml:space="preserve"> </w:t>
      </w:r>
      <w:proofErr w:type="spellStart"/>
      <w:r w:rsidRPr="00760A5C">
        <w:t>Court</w:t>
      </w:r>
      <w:proofErr w:type="spellEnd"/>
      <w:r w:rsidRPr="00760A5C">
        <w:t xml:space="preserve">: </w:t>
      </w:r>
      <w:hyperlink r:id="rId12" w:history="1">
        <w:r w:rsidRPr="00760A5C">
          <w:rPr>
            <w:rStyle w:val="Hperlink"/>
          </w:rPr>
          <w:t>https://www.courts.ie/district-court</w:t>
        </w:r>
      </w:hyperlink>
      <w:r w:rsidRPr="00760A5C">
        <w:t xml:space="preserve"> ; </w:t>
      </w:r>
      <w:hyperlink r:id="rId13" w:history="1">
        <w:r w:rsidRPr="00760A5C">
          <w:rPr>
            <w:rStyle w:val="Hperlink"/>
          </w:rPr>
          <w:t>https://www.citizensinformation.ie/en/justice/courts-system/district-court/</w:t>
        </w:r>
      </w:hyperlink>
    </w:p>
    <w:p w14:paraId="1050F6E9" w14:textId="77777777" w:rsidR="006F2066" w:rsidRPr="00760A5C" w:rsidRDefault="006F2066" w:rsidP="006F2066">
      <w:r w:rsidRPr="00760A5C">
        <w:t xml:space="preserve">The </w:t>
      </w:r>
      <w:proofErr w:type="spellStart"/>
      <w:r w:rsidRPr="00760A5C">
        <w:t>Circuit</w:t>
      </w:r>
      <w:proofErr w:type="spellEnd"/>
      <w:r w:rsidRPr="00760A5C">
        <w:t xml:space="preserve"> </w:t>
      </w:r>
      <w:proofErr w:type="spellStart"/>
      <w:r w:rsidRPr="00760A5C">
        <w:t>Court</w:t>
      </w:r>
      <w:proofErr w:type="spellEnd"/>
      <w:r w:rsidRPr="00760A5C">
        <w:t xml:space="preserve">: </w:t>
      </w:r>
      <w:hyperlink r:id="rId14" w:history="1">
        <w:r w:rsidRPr="00760A5C">
          <w:rPr>
            <w:rStyle w:val="Hperlink"/>
          </w:rPr>
          <w:t>https://www.courts.ie/circuit-court</w:t>
        </w:r>
      </w:hyperlink>
      <w:r w:rsidRPr="00760A5C">
        <w:t xml:space="preserve"> ; </w:t>
      </w:r>
      <w:hyperlink r:id="rId15" w:history="1">
        <w:r w:rsidRPr="00760A5C">
          <w:rPr>
            <w:rStyle w:val="Hperlink"/>
          </w:rPr>
          <w:t>https://www.citizensinformation.ie/en/justice/courts-system/circuit-court/</w:t>
        </w:r>
      </w:hyperlink>
    </w:p>
    <w:p w14:paraId="0D1CF4A2" w14:textId="77777777" w:rsidR="006F2066" w:rsidRPr="00760A5C" w:rsidRDefault="006F2066" w:rsidP="006F2066">
      <w:r w:rsidRPr="00760A5C">
        <w:t>TAANI:</w:t>
      </w:r>
    </w:p>
    <w:p w14:paraId="2AE18FDE" w14:textId="77777777" w:rsidR="006F2066" w:rsidRPr="00760A5C" w:rsidRDefault="00000000" w:rsidP="006F2066">
      <w:hyperlink r:id="rId16" w:history="1">
        <w:r w:rsidR="006F2066" w:rsidRPr="00760A5C">
          <w:rPr>
            <w:rStyle w:val="Hperlink"/>
          </w:rPr>
          <w:t>https://www.domstol.dk/alle-retsinstanser/</w:t>
        </w:r>
      </w:hyperlink>
    </w:p>
    <w:p w14:paraId="2A590726" w14:textId="77777777" w:rsidR="006F2066" w:rsidRPr="00760A5C" w:rsidRDefault="006F2066" w:rsidP="006F2066">
      <w:r w:rsidRPr="00760A5C">
        <w:t xml:space="preserve">inglise keeles: </w:t>
      </w:r>
      <w:hyperlink r:id="rId17" w:history="1">
        <w:r w:rsidRPr="00760A5C">
          <w:rPr>
            <w:rStyle w:val="Hperlink"/>
          </w:rPr>
          <w:t>https://www.domstol.dk/media/jqhg2psf/a-closer-look-at-the-courts-of-denmark.pdf</w:t>
        </w:r>
      </w:hyperlink>
    </w:p>
    <w:p w14:paraId="34740BEE" w14:textId="77777777" w:rsidR="006F2066" w:rsidRPr="00760A5C" w:rsidRDefault="006F2066" w:rsidP="006F2066">
      <w:r w:rsidRPr="00760A5C">
        <w:t>ISLAND:</w:t>
      </w:r>
    </w:p>
    <w:p w14:paraId="62FA7C1B" w14:textId="77777777" w:rsidR="006F2066" w:rsidRPr="00760A5C" w:rsidRDefault="00000000" w:rsidP="006F2066">
      <w:hyperlink r:id="rId18" w:history="1">
        <w:r w:rsidR="006F2066" w:rsidRPr="00760A5C">
          <w:rPr>
            <w:rStyle w:val="Hperlink"/>
          </w:rPr>
          <w:t>https://www.domstolar.is/en/</w:t>
        </w:r>
      </w:hyperlink>
    </w:p>
    <w:p w14:paraId="3E77FF0F" w14:textId="77777777" w:rsidR="006F2066" w:rsidRPr="00760A5C" w:rsidRDefault="006F2066" w:rsidP="006F2066">
      <w:r w:rsidRPr="00760A5C">
        <w:t>UUS MEREMAA:</w:t>
      </w:r>
    </w:p>
    <w:p w14:paraId="1C80C7D4" w14:textId="77777777" w:rsidR="006F2066" w:rsidRPr="00760A5C" w:rsidRDefault="006F2066" w:rsidP="006F2066">
      <w:r w:rsidRPr="00760A5C">
        <w:t xml:space="preserve">The </w:t>
      </w:r>
      <w:proofErr w:type="spellStart"/>
      <w:r w:rsidRPr="00760A5C">
        <w:t>District</w:t>
      </w:r>
      <w:proofErr w:type="spellEnd"/>
      <w:r w:rsidRPr="00760A5C">
        <w:t xml:space="preserve"> </w:t>
      </w:r>
      <w:proofErr w:type="spellStart"/>
      <w:r w:rsidRPr="00760A5C">
        <w:t>Court</w:t>
      </w:r>
      <w:proofErr w:type="spellEnd"/>
      <w:r w:rsidRPr="00760A5C">
        <w:t xml:space="preserve">: </w:t>
      </w:r>
      <w:hyperlink r:id="rId19" w:history="1">
        <w:r w:rsidRPr="00760A5C">
          <w:rPr>
            <w:rStyle w:val="Hperlink"/>
          </w:rPr>
          <w:t>https://www.districtcourts.govt.nz/about-the-courts/the-district-court-judiciary/</w:t>
        </w:r>
      </w:hyperlink>
    </w:p>
    <w:p w14:paraId="137EE0A4" w14:textId="77777777" w:rsidR="006F2066" w:rsidRPr="00760A5C" w:rsidRDefault="006F2066" w:rsidP="006F2066">
      <w:r w:rsidRPr="00760A5C">
        <w:t xml:space="preserve">Kõik Uus Meremaa kohtud: </w:t>
      </w:r>
      <w:hyperlink r:id="rId20" w:history="1">
        <w:r w:rsidRPr="00760A5C">
          <w:rPr>
            <w:rStyle w:val="Hperlink"/>
          </w:rPr>
          <w:t>https://www.courtsofnz.govt.nz/the-courts/</w:t>
        </w:r>
      </w:hyperlink>
    </w:p>
    <w:p w14:paraId="057CB824" w14:textId="77777777" w:rsidR="006F2066" w:rsidRPr="00760A5C" w:rsidRDefault="006F2066" w:rsidP="006F2066">
      <w:r w:rsidRPr="00760A5C">
        <w:t xml:space="preserve">Kohtute kaart ja kohtujurisdiktsioonide piirid: </w:t>
      </w:r>
      <w:hyperlink r:id="rId21" w:history="1">
        <w:r w:rsidRPr="00760A5C">
          <w:rPr>
            <w:rStyle w:val="Hperlink"/>
          </w:rPr>
          <w:t>https://www.justice.govt.nz/assets/Documents/Publications/Ministy-of-Justice-Courts-and-Tribunals-Justice-service-areas-MAP.pdf</w:t>
        </w:r>
      </w:hyperlink>
    </w:p>
    <w:p w14:paraId="1CB0F846" w14:textId="77777777" w:rsidR="006F2066" w:rsidRPr="00760A5C" w:rsidRDefault="006F2066" w:rsidP="006F2066">
      <w:r w:rsidRPr="00760A5C">
        <w:t>LUKSEMBURG:</w:t>
      </w:r>
    </w:p>
    <w:p w14:paraId="4C315BF0" w14:textId="77777777" w:rsidR="006F2066" w:rsidRPr="00760A5C" w:rsidRDefault="006F2066" w:rsidP="006F2066">
      <w:r w:rsidRPr="00760A5C">
        <w:t xml:space="preserve">Rahukohtud (ingl. k </w:t>
      </w:r>
      <w:proofErr w:type="spellStart"/>
      <w:r w:rsidRPr="00760A5C">
        <w:t>Magistrate’s</w:t>
      </w:r>
      <w:proofErr w:type="spellEnd"/>
      <w:r w:rsidRPr="00760A5C">
        <w:t xml:space="preserve"> </w:t>
      </w:r>
      <w:proofErr w:type="spellStart"/>
      <w:r w:rsidRPr="00760A5C">
        <w:t>Court</w:t>
      </w:r>
      <w:proofErr w:type="spellEnd"/>
      <w:r w:rsidRPr="00760A5C">
        <w:t xml:space="preserve">): </w:t>
      </w:r>
      <w:hyperlink r:id="rId22" w:anchor="the-judiciary-at-cantonal-level" w:history="1">
        <w:r w:rsidRPr="00760A5C">
          <w:rPr>
            <w:rStyle w:val="Hperlink"/>
          </w:rPr>
          <w:t>https://www.ch.ch/en/political-system/operation-and-organisation-of-switzerland/courts/#the-judiciary-at-cantonal-level</w:t>
        </w:r>
      </w:hyperlink>
      <w:r w:rsidRPr="00760A5C">
        <w:t xml:space="preserve"> ; inglise keeles + kaart kohtumajade asukohtadega: </w:t>
      </w:r>
      <w:hyperlink r:id="rId23" w:history="1">
        <w:r w:rsidRPr="00760A5C">
          <w:rPr>
            <w:rStyle w:val="Hperlink"/>
          </w:rPr>
          <w:t>https://guichet.public.lu/en/citoyens/organismes/organismes_citoyens/justice-paix.html</w:t>
        </w:r>
      </w:hyperlink>
    </w:p>
    <w:p w14:paraId="1CA0DD1B" w14:textId="77777777" w:rsidR="006F2066" w:rsidRPr="00760A5C" w:rsidRDefault="006F2066" w:rsidP="006F2066">
      <w:r w:rsidRPr="00760A5C">
        <w:t xml:space="preserve">Kõik teised kohtud: </w:t>
      </w:r>
      <w:hyperlink r:id="rId24" w:history="1">
        <w:r w:rsidRPr="00760A5C">
          <w:rPr>
            <w:rStyle w:val="Hperlink"/>
          </w:rPr>
          <w:t>https://justice.public.lu/fr/organisation-justice/juridictions-judiciaires.html</w:t>
        </w:r>
      </w:hyperlink>
    </w:p>
    <w:p w14:paraId="624F2342" w14:textId="77777777" w:rsidR="006F2066" w:rsidRPr="00760A5C" w:rsidRDefault="006F2066" w:rsidP="006F2066">
      <w:r w:rsidRPr="00760A5C">
        <w:t>LÄTI:</w:t>
      </w:r>
    </w:p>
    <w:p w14:paraId="11087BA3" w14:textId="77777777" w:rsidR="006F2066" w:rsidRPr="00760A5C" w:rsidRDefault="006F2066" w:rsidP="006F2066">
      <w:r w:rsidRPr="00760A5C">
        <w:t xml:space="preserve">Kohtute territooriumite ja asukohtade seadus: </w:t>
      </w:r>
      <w:hyperlink r:id="rId25" w:history="1">
        <w:r w:rsidRPr="00760A5C">
          <w:rPr>
            <w:rStyle w:val="Hperlink"/>
          </w:rPr>
          <w:t>https://likumi.lv/ta/id/342202-par-tiesam-to-darbibas-teritorijam-un-atrasanas-vietam</w:t>
        </w:r>
      </w:hyperlink>
    </w:p>
    <w:p w14:paraId="0D7BDBD5" w14:textId="77777777" w:rsidR="006F2066" w:rsidRPr="00760A5C" w:rsidRDefault="006F2066" w:rsidP="006F2066">
      <w:r w:rsidRPr="00760A5C">
        <w:t xml:space="preserve">Läti kohtumajade paiknemine : </w:t>
      </w:r>
      <w:hyperlink r:id="rId26" w:history="1">
        <w:r w:rsidRPr="00760A5C">
          <w:rPr>
            <w:rStyle w:val="Hperlink"/>
          </w:rPr>
          <w:t>https://tiesas.lv/tiesas/saraksts</w:t>
        </w:r>
      </w:hyperlink>
    </w:p>
    <w:p w14:paraId="63AD3605" w14:textId="77777777" w:rsidR="006F2066" w:rsidRPr="00760A5C" w:rsidRDefault="006F2066" w:rsidP="006F2066">
      <w:r w:rsidRPr="00760A5C">
        <w:t xml:space="preserve">Üldist Läti kohtusüsteemist: </w:t>
      </w:r>
      <w:hyperlink r:id="rId27" w:history="1">
        <w:r w:rsidRPr="00760A5C">
          <w:rPr>
            <w:rStyle w:val="Hperlink"/>
          </w:rPr>
          <w:t>https://tiesas.lv/tiesu_sad</w:t>
        </w:r>
      </w:hyperlink>
    </w:p>
    <w:p w14:paraId="06FE4E23" w14:textId="77777777" w:rsidR="006F2066" w:rsidRPr="00760A5C" w:rsidRDefault="006F2066" w:rsidP="006F2066">
      <w:r w:rsidRPr="00760A5C">
        <w:t>LEEDU:</w:t>
      </w:r>
    </w:p>
    <w:p w14:paraId="650852E7" w14:textId="77777777" w:rsidR="006F2066" w:rsidRPr="00760A5C" w:rsidRDefault="00000000" w:rsidP="006F2066">
      <w:hyperlink r:id="rId28" w:history="1">
        <w:r w:rsidR="006F2066" w:rsidRPr="00760A5C">
          <w:rPr>
            <w:rStyle w:val="Hperlink"/>
          </w:rPr>
          <w:t>https://e-justice.europa.eu/18/ET/national_ordinary_courts?LITHUANIA&amp;member=1</w:t>
        </w:r>
      </w:hyperlink>
    </w:p>
    <w:p w14:paraId="0B615EFC" w14:textId="77777777" w:rsidR="006F2066" w:rsidRPr="00760A5C" w:rsidRDefault="00000000" w:rsidP="006F2066">
      <w:hyperlink r:id="rId29" w:history="1">
        <w:r w:rsidR="006F2066" w:rsidRPr="00760A5C">
          <w:rPr>
            <w:rStyle w:val="Hperlink"/>
          </w:rPr>
          <w:t>https://www.teismai.lt/en/courts/judicial-system/650</w:t>
        </w:r>
      </w:hyperlink>
    </w:p>
    <w:p w14:paraId="31858EB6" w14:textId="77777777" w:rsidR="006F2066" w:rsidRPr="00760A5C" w:rsidRDefault="006F2066" w:rsidP="006F2066">
      <w:r w:rsidRPr="00760A5C">
        <w:t>SLOVEENIA:</w:t>
      </w:r>
    </w:p>
    <w:p w14:paraId="6BC0B98D" w14:textId="77777777" w:rsidR="006F2066" w:rsidRPr="00760A5C" w:rsidRDefault="00000000" w:rsidP="006F2066">
      <w:hyperlink r:id="rId30" w:history="1">
        <w:r w:rsidR="006F2066" w:rsidRPr="00760A5C">
          <w:rPr>
            <w:rStyle w:val="Hperlink"/>
          </w:rPr>
          <w:t>https://www.sodisce.si/sodisca/sodni_sistem/</w:t>
        </w:r>
      </w:hyperlink>
    </w:p>
    <w:p w14:paraId="5B9B4377" w14:textId="77777777" w:rsidR="006F2066" w:rsidRPr="00760A5C" w:rsidRDefault="00000000" w:rsidP="006F2066">
      <w:hyperlink r:id="rId31" w:history="1">
        <w:r w:rsidR="006F2066" w:rsidRPr="00760A5C">
          <w:rPr>
            <w:rStyle w:val="Hperlink"/>
          </w:rPr>
          <w:t>https://e-justice.europa.eu/18/ET/national_ordinary_courts?SLOVENIA&amp;member=1</w:t>
        </w:r>
      </w:hyperlink>
    </w:p>
    <w:p w14:paraId="6E782623" w14:textId="77777777" w:rsidR="006F2066" w:rsidRPr="00760A5C" w:rsidRDefault="006F2066" w:rsidP="006F2066">
      <w:pPr>
        <w:rPr>
          <w:u w:val="single"/>
        </w:rPr>
      </w:pPr>
    </w:p>
    <w:p w14:paraId="125BFADD" w14:textId="77777777" w:rsidR="006F2066" w:rsidRPr="00760A5C" w:rsidRDefault="006F2066" w:rsidP="006F2066">
      <w:pPr>
        <w:rPr>
          <w:u w:val="single"/>
        </w:rPr>
      </w:pPr>
      <w:r w:rsidRPr="00760A5C">
        <w:rPr>
          <w:u w:val="single"/>
        </w:rPr>
        <w:t>Lisainfo</w:t>
      </w:r>
    </w:p>
    <w:p w14:paraId="6DB3A45C" w14:textId="77777777" w:rsidR="006F2066" w:rsidRPr="00760A5C" w:rsidRDefault="006F2066" w:rsidP="006F2066">
      <w:r w:rsidRPr="00760A5C">
        <w:t>HORVAATIA:</w:t>
      </w:r>
    </w:p>
    <w:p w14:paraId="1FB5407B" w14:textId="77777777" w:rsidR="006F2066" w:rsidRPr="00760A5C" w:rsidRDefault="00000000" w:rsidP="006F2066">
      <w:hyperlink r:id="rId32" w:history="1">
        <w:r w:rsidR="006F2066" w:rsidRPr="00760A5C">
          <w:rPr>
            <w:rStyle w:val="Hperlink"/>
          </w:rPr>
          <w:t>https://sudovi.hr/en/node/4</w:t>
        </w:r>
      </w:hyperlink>
    </w:p>
    <w:p w14:paraId="07776742" w14:textId="77777777" w:rsidR="006F2066" w:rsidRPr="00760A5C" w:rsidRDefault="006F2066" w:rsidP="006F2066">
      <w:r w:rsidRPr="00760A5C">
        <w:t>ŠVEITS:</w:t>
      </w:r>
    </w:p>
    <w:p w14:paraId="0AC107C7" w14:textId="77777777" w:rsidR="006F2066" w:rsidRPr="00760A5C" w:rsidRDefault="006F2066" w:rsidP="006F2066">
      <w:r w:rsidRPr="00760A5C">
        <w:t xml:space="preserve">Üldist: </w:t>
      </w:r>
      <w:hyperlink r:id="rId33" w:anchor="the-judiciary-at-cantonal-level" w:history="1">
        <w:r w:rsidRPr="00760A5C">
          <w:rPr>
            <w:rStyle w:val="Hperlink"/>
          </w:rPr>
          <w:t>https://www.ch.ch/en/political-system/operation-and-organisation-of-switzerland/courts/#the-judiciary-at-cantonal-level</w:t>
        </w:r>
      </w:hyperlink>
      <w:r w:rsidRPr="00760A5C">
        <w:t xml:space="preserve"> ; </w:t>
      </w:r>
      <w:hyperlink r:id="rId34" w:anchor="the-municipal-level" w:history="1">
        <w:r w:rsidRPr="00760A5C">
          <w:rPr>
            <w:rStyle w:val="Hperlink"/>
          </w:rPr>
          <w:t>https://www.nyulawglobal.org/globalex/switzerland.html#the-municipal-level</w:t>
        </w:r>
      </w:hyperlink>
    </w:p>
    <w:p w14:paraId="2A5404A2" w14:textId="77777777" w:rsidR="006F2066" w:rsidRPr="00760A5C" w:rsidRDefault="006F2066" w:rsidP="006F2066">
      <w:r w:rsidRPr="00760A5C">
        <w:t xml:space="preserve">Näide kantoni sisesest korraldusest: </w:t>
      </w:r>
      <w:hyperlink r:id="rId35" w:anchor="gallery" w:history="1">
        <w:r w:rsidRPr="00760A5C">
          <w:rPr>
            <w:rStyle w:val="Hperlink"/>
          </w:rPr>
          <w:t>https://www.fr.ch/pj/organigramme-du-pouvoir-judiciaire#gallery</w:t>
        </w:r>
      </w:hyperlink>
    </w:p>
    <w:p w14:paraId="74427C30" w14:textId="77777777" w:rsidR="006F2066" w:rsidRPr="00760A5C" w:rsidRDefault="006F2066" w:rsidP="006F2066"/>
    <w:p w14:paraId="35A32643" w14:textId="77777777" w:rsidR="006F2066" w:rsidRPr="00760A5C" w:rsidRDefault="006F2066" w:rsidP="006F2066"/>
    <w:p w14:paraId="4EFFB6AD" w14:textId="77777777" w:rsidR="006F2066" w:rsidRPr="00760A5C" w:rsidRDefault="006F2066" w:rsidP="006F2066"/>
    <w:p w14:paraId="40ABFB1D" w14:textId="77777777" w:rsidR="006F2066" w:rsidRPr="006F2066" w:rsidRDefault="006F2066" w:rsidP="006F2066"/>
    <w:sectPr w:rsidR="006F2066" w:rsidRPr="006F2066" w:rsidSect="006F206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85D3" w14:textId="77777777" w:rsidR="00F0587F" w:rsidRDefault="00F0587F" w:rsidP="00A144BA">
      <w:pPr>
        <w:spacing w:after="0" w:line="240" w:lineRule="auto"/>
      </w:pPr>
      <w:r>
        <w:separator/>
      </w:r>
    </w:p>
  </w:endnote>
  <w:endnote w:type="continuationSeparator" w:id="0">
    <w:p w14:paraId="181A010A" w14:textId="77777777" w:rsidR="00F0587F" w:rsidRDefault="00F0587F" w:rsidP="00A1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5949"/>
      <w:docPartObj>
        <w:docPartGallery w:val="Page Numbers (Bottom of Page)"/>
        <w:docPartUnique/>
      </w:docPartObj>
    </w:sdtPr>
    <w:sdtContent>
      <w:p w14:paraId="06F88A34" w14:textId="3FA63AED" w:rsidR="00932236" w:rsidRDefault="00932236">
        <w:pPr>
          <w:pStyle w:val="Jalus"/>
          <w:jc w:val="right"/>
        </w:pPr>
        <w:r>
          <w:fldChar w:fldCharType="begin"/>
        </w:r>
        <w:r>
          <w:instrText>PAGE   \* MERGEFORMAT</w:instrText>
        </w:r>
        <w:r>
          <w:fldChar w:fldCharType="separate"/>
        </w:r>
        <w:r>
          <w:t>2</w:t>
        </w:r>
        <w:r>
          <w:fldChar w:fldCharType="end"/>
        </w:r>
      </w:p>
    </w:sdtContent>
  </w:sdt>
  <w:p w14:paraId="09F307C1" w14:textId="77777777" w:rsidR="002913A5" w:rsidRDefault="002913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EB47" w14:textId="77777777" w:rsidR="00F0587F" w:rsidRDefault="00F0587F" w:rsidP="00A144BA">
      <w:pPr>
        <w:spacing w:after="0" w:line="240" w:lineRule="auto"/>
      </w:pPr>
      <w:r>
        <w:separator/>
      </w:r>
    </w:p>
  </w:footnote>
  <w:footnote w:type="continuationSeparator" w:id="0">
    <w:p w14:paraId="6D07691B" w14:textId="77777777" w:rsidR="00F0587F" w:rsidRDefault="00F0587F" w:rsidP="00A144BA">
      <w:pPr>
        <w:spacing w:after="0" w:line="240" w:lineRule="auto"/>
      </w:pPr>
      <w:r>
        <w:continuationSeparator/>
      </w:r>
    </w:p>
  </w:footnote>
  <w:footnote w:id="1">
    <w:p w14:paraId="60E77218" w14:textId="6510ADBF" w:rsidR="008642B8" w:rsidRDefault="00A144BA" w:rsidP="008642B8">
      <w:pPr>
        <w:pStyle w:val="Allmrkusetekst"/>
        <w:jc w:val="both"/>
      </w:pPr>
      <w:r>
        <w:rPr>
          <w:rStyle w:val="Allmrkuseviide"/>
        </w:rPr>
        <w:footnoteRef/>
      </w:r>
      <w:r>
        <w:t xml:space="preserve"> </w:t>
      </w:r>
      <w:r w:rsidR="008642B8">
        <w:t xml:space="preserve">Põhiseadusliku Assamblee kuues istung (18. oktoober 1991). Kättesaadav: </w:t>
      </w:r>
      <w:hyperlink r:id="rId1" w:history="1">
        <w:r w:rsidR="008642B8" w:rsidRPr="00E86077">
          <w:rPr>
            <w:rStyle w:val="Hperlink"/>
          </w:rPr>
          <w:t>https://www.riigikogu.ee/tutvustus-ja-ajalugu/riigikogu-ajalugu/pohiseaduse-assamblee/pohiseaduse-assamblee-stenogrammid/</w:t>
        </w:r>
      </w:hyperlink>
      <w:r w:rsidR="008642B8">
        <w:t xml:space="preserve"> </w:t>
      </w:r>
    </w:p>
  </w:footnote>
  <w:footnote w:id="2">
    <w:p w14:paraId="4B67C057" w14:textId="69ABFE0C" w:rsidR="00911501" w:rsidRDefault="00911501" w:rsidP="00847BF4">
      <w:pPr>
        <w:pStyle w:val="Allmrkusetekst"/>
        <w:jc w:val="both"/>
      </w:pPr>
      <w:r>
        <w:rPr>
          <w:rStyle w:val="Allmrkuseviide"/>
        </w:rPr>
        <w:footnoteRef/>
      </w:r>
      <w:r>
        <w:t xml:space="preserve"> </w:t>
      </w:r>
      <w:r w:rsidRPr="00911501">
        <w:t>RT 1991, 38, 472</w:t>
      </w:r>
      <w:r>
        <w:t>.</w:t>
      </w:r>
      <w:r w:rsidR="006E04B9">
        <w:t xml:space="preserve"> Selle teema kohta vt ka K. Luhamaa ja M. Ristikivi. Eesti kohtusüsteem ja kohtunikkond reformide keskel 1988–1993. Riigiõiguse aastaraamat. Toim. M. Luts-</w:t>
      </w:r>
      <w:r w:rsidR="006E04B9">
        <w:t>Sootak jt. 2022, lk 13-45.</w:t>
      </w:r>
    </w:p>
  </w:footnote>
  <w:footnote w:id="3">
    <w:p w14:paraId="726BF63E" w14:textId="6250E1F4" w:rsidR="00EC1EA3" w:rsidRDefault="00EC1EA3" w:rsidP="00847BF4">
      <w:pPr>
        <w:pStyle w:val="Allmrkusetekst"/>
        <w:jc w:val="both"/>
      </w:pPr>
      <w:r>
        <w:rPr>
          <w:rStyle w:val="Allmrkuseviide"/>
        </w:rPr>
        <w:footnoteRef/>
      </w:r>
      <w:r>
        <w:t xml:space="preserve"> </w:t>
      </w:r>
      <w:r w:rsidR="00572CD4" w:rsidRPr="00572CD4">
        <w:t>Nõukogude aja lõpu</w:t>
      </w:r>
      <w:r w:rsidR="00572CD4">
        <w:t xml:space="preserve">ks </w:t>
      </w:r>
      <w:r w:rsidR="00572CD4" w:rsidRPr="00572CD4">
        <w:t xml:space="preserve">oli Eestis </w:t>
      </w:r>
      <w:r w:rsidR="00572CD4">
        <w:t>kuus</w:t>
      </w:r>
      <w:r w:rsidR="00572CD4" w:rsidRPr="00572CD4">
        <w:t xml:space="preserve"> vabariiklikku linna</w:t>
      </w:r>
      <w:r w:rsidR="00572CD4">
        <w:t xml:space="preserve"> (Tallinn, Tartu, Pärnu, Kohtla-Järve, Narva, Sillamäe)</w:t>
      </w:r>
      <w:r w:rsidR="00572CD4" w:rsidRPr="00572CD4">
        <w:t xml:space="preserve">, </w:t>
      </w:r>
      <w:r w:rsidR="00572CD4">
        <w:t>neli</w:t>
      </w:r>
      <w:r w:rsidR="00572CD4" w:rsidRPr="00572CD4">
        <w:t xml:space="preserve"> linnarajooni Tallinnas</w:t>
      </w:r>
      <w:r w:rsidR="00E6307A">
        <w:t xml:space="preserve"> (Kalinini, Oktoobri, Lenini ja Mererajoon)</w:t>
      </w:r>
      <w:r w:rsidR="00572CD4" w:rsidRPr="00572CD4">
        <w:t xml:space="preserve"> </w:t>
      </w:r>
      <w:r w:rsidR="00E6307A">
        <w:t>ning</w:t>
      </w:r>
      <w:r w:rsidR="00572CD4" w:rsidRPr="00572CD4">
        <w:t xml:space="preserve"> 15 maarajooni</w:t>
      </w:r>
      <w:r w:rsidR="00572CD4">
        <w:t xml:space="preserve"> (Haapsalu, Harju, Hiiumaa, Jõgeva, </w:t>
      </w:r>
      <w:r w:rsidR="00572CD4">
        <w:t>Kingisseppa, Kohtla-Järve, Pärnu, Rakvere, Rapla, Paide</w:t>
      </w:r>
      <w:r w:rsidR="00E6307A">
        <w:t xml:space="preserve">, </w:t>
      </w:r>
      <w:r w:rsidR="00572CD4">
        <w:t xml:space="preserve">Põlva, Tartu, Valga, Viljandi ja Võru rajoon), mis muudeti maakondadeks. </w:t>
      </w:r>
      <w:r w:rsidR="00214FF6">
        <w:t>Eesti Vabariigi Ülemnõukogu Presiidium</w:t>
      </w:r>
      <w:r w:rsidR="007241E4">
        <w:t xml:space="preserve"> otsustas </w:t>
      </w:r>
      <w:r w:rsidR="00214FF6">
        <w:t>24. mai 1990. a seadlusega „Eesti Vabariigi rahvakohtute ümbernimetamise kohta“</w:t>
      </w:r>
      <w:r w:rsidR="00C47D1C">
        <w:t xml:space="preserve"> –</w:t>
      </w:r>
      <w:r w:rsidR="00214FF6">
        <w:t xml:space="preserve"> seoses haldusreformi käigus rajoonide </w:t>
      </w:r>
      <w:r w:rsidR="00911501">
        <w:t xml:space="preserve">mõiste asendamisega </w:t>
      </w:r>
      <w:r w:rsidR="00214FF6">
        <w:t>maakondade</w:t>
      </w:r>
      <w:r w:rsidR="002D5FD9">
        <w:t xml:space="preserve"> mõistega</w:t>
      </w:r>
      <w:r w:rsidR="00214FF6">
        <w:t xml:space="preserve"> </w:t>
      </w:r>
      <w:r w:rsidR="00C47D1C">
        <w:t xml:space="preserve">– </w:t>
      </w:r>
      <w:r w:rsidR="00214FF6">
        <w:t>nimetada Eesti Vabariigi rahvakohtud ümber maa- ja linnakohtuteks. Sellel hetkel oli</w:t>
      </w:r>
      <w:r w:rsidR="00911501">
        <w:t xml:space="preserve"> Eestis</w:t>
      </w:r>
      <w:r w:rsidR="00214FF6">
        <w:t xml:space="preserve"> 15 rajooni rahvakohut</w:t>
      </w:r>
      <w:r w:rsidR="00137144">
        <w:t xml:space="preserve"> (Haapsalu, Harju, Hiiumaa, Jõgeva, Kingissepa, Kohtla- Järve, Paide, Põlva, Pärnu, Rakvere, Rapla, Tartu, Valga Viljandi ja Võru Rajooni Rahvakohus)</w:t>
      </w:r>
      <w:r w:rsidR="00214FF6">
        <w:t xml:space="preserve"> ning 5 linna rahvakohut</w:t>
      </w:r>
      <w:r w:rsidR="00137144">
        <w:t xml:space="preserve"> (Kohtla-Järve, Narva, Pärnu, Sillamäe ja Tartu Linna Rahvakohus)</w:t>
      </w:r>
      <w:r w:rsidR="007241E4">
        <w:t>.</w:t>
      </w:r>
      <w:r w:rsidR="00137144">
        <w:t xml:space="preserve"> Erilahendus oli </w:t>
      </w:r>
      <w:r w:rsidR="004E684B">
        <w:t xml:space="preserve">loodud Tallinna jaoks, kus asusid </w:t>
      </w:r>
      <w:r w:rsidR="00137144">
        <w:t>Tallinna linnarajoonide rahvakohtu</w:t>
      </w:r>
      <w:r w:rsidR="004E684B">
        <w:t>d</w:t>
      </w:r>
      <w:r w:rsidR="00137144">
        <w:t>, mida oli neli</w:t>
      </w:r>
      <w:r w:rsidR="00C47D1C">
        <w:t xml:space="preserve"> (s.o </w:t>
      </w:r>
      <w:r w:rsidR="00137144" w:rsidRPr="00137144">
        <w:t>Tallinna Kalinini Rajooni Rahvakohus, Tallinna Lenini Rajooni Rahvakohus, Tallinna Mererajooni Rahvakohus ja Tallinna Oktoobri Rajooni Rahvakohus</w:t>
      </w:r>
      <w:r w:rsidR="00C47D1C">
        <w:t>)</w:t>
      </w:r>
      <w:r w:rsidR="00137144">
        <w:t xml:space="preserve">. </w:t>
      </w:r>
      <w:r w:rsidR="00D34E15">
        <w:t xml:space="preserve">Ülemnõukogu Presiidiumi </w:t>
      </w:r>
      <w:r w:rsidR="00016C5A">
        <w:t>15. augusti 1991. a seadlusega „Tallinna Linnakohtu moodustamise kohta“ (RT 1991, 29, 336) ühendati Tallinna linnarajoonide rahvakohtud 1. novembrist 1991 Tallinna Linnakohtuks.</w:t>
      </w:r>
      <w:r w:rsidR="00473BE0">
        <w:t xml:space="preserve"> </w:t>
      </w:r>
    </w:p>
  </w:footnote>
  <w:footnote w:id="4">
    <w:p w14:paraId="48FBB1E2" w14:textId="5DDF7991" w:rsidR="00332FDA" w:rsidRDefault="00332FDA" w:rsidP="00D92231">
      <w:pPr>
        <w:pStyle w:val="Allmrkusetekst"/>
        <w:jc w:val="both"/>
      </w:pPr>
      <w:r>
        <w:rPr>
          <w:rStyle w:val="Allmrkuseviide"/>
        </w:rPr>
        <w:footnoteRef/>
      </w:r>
      <w:r>
        <w:t xml:space="preserve"> Ringkonnakohtu mõiste</w:t>
      </w:r>
      <w:r w:rsidR="004E684B">
        <w:t>t tuntakse juba</w:t>
      </w:r>
      <w:r>
        <w:t xml:space="preserve"> tsaariajast, nt Riia ringkonnakohus</w:t>
      </w:r>
      <w:r w:rsidR="004E684B">
        <w:t xml:space="preserve"> või Tallinna ringkonnakohus</w:t>
      </w:r>
      <w:r>
        <w:t xml:space="preserve">, mis teenindas kubermangu teatud osa (vt T. </w:t>
      </w:r>
      <w:r>
        <w:t>Anepaio</w:t>
      </w:r>
      <w:r w:rsidR="00FA701E">
        <w:t>. Kaarel Parts. Oberbauer, pangahärra, riigikohtunik. Tänapäeva 2024,</w:t>
      </w:r>
      <w:r>
        <w:t xml:space="preserve"> lk 93 jj.).</w:t>
      </w:r>
    </w:p>
  </w:footnote>
  <w:footnote w:id="5">
    <w:p w14:paraId="21BBC60E" w14:textId="6A084C3A" w:rsidR="00D92231" w:rsidRDefault="00D92231" w:rsidP="00D92231">
      <w:pPr>
        <w:pStyle w:val="Allmrkusetekst"/>
        <w:jc w:val="both"/>
      </w:pPr>
      <w:r>
        <w:rPr>
          <w:rStyle w:val="Allmrkuseviide"/>
        </w:rPr>
        <w:footnoteRef/>
      </w:r>
      <w:r>
        <w:t xml:space="preserve"> M. Raski sõnavõtt eelnõu esimesel lugemisel, vt Ülemnõukogu. 23.10.1991, p 1. Arvutivõrgus kättesaadav: </w:t>
      </w:r>
      <w:hyperlink r:id="rId2" w:anchor="PKP-11845" w:history="1">
        <w:r w:rsidRPr="00482CB0">
          <w:rPr>
            <w:rStyle w:val="Hperlink"/>
          </w:rPr>
          <w:t>https://stenogrammid.riigikogu.ee/et/199109261000#PKP-11845</w:t>
        </w:r>
      </w:hyperlink>
      <w:r>
        <w:t>.</w:t>
      </w:r>
    </w:p>
  </w:footnote>
  <w:footnote w:id="6">
    <w:p w14:paraId="55DC53A9" w14:textId="7D3F6E04" w:rsidR="00F97798" w:rsidRDefault="00F97798" w:rsidP="00D92231">
      <w:pPr>
        <w:pStyle w:val="Allmrkusetekst"/>
        <w:jc w:val="both"/>
      </w:pPr>
      <w:r>
        <w:rPr>
          <w:rStyle w:val="Allmrkuseviide"/>
        </w:rPr>
        <w:footnoteRef/>
      </w:r>
      <w:r>
        <w:t xml:space="preserve"> Kohtute seadustiku eelnõu seletuskiri, lk 1. Arvutivõrgus kättesaadav:</w:t>
      </w:r>
      <w:r w:rsidR="00FA701E">
        <w:t xml:space="preserve"> </w:t>
      </w:r>
      <w:hyperlink r:id="rId3" w:history="1">
        <w:r w:rsidR="006E04B9" w:rsidRPr="00222CBC">
          <w:rPr>
            <w:rStyle w:val="Hperlink"/>
          </w:rPr>
          <w:t>https://www.ra.ee/dgs/explorer.php</w:t>
        </w:r>
      </w:hyperlink>
      <w:r w:rsidR="007831E3">
        <w:t>.</w:t>
      </w:r>
    </w:p>
  </w:footnote>
  <w:footnote w:id="7">
    <w:p w14:paraId="24BE2AFE" w14:textId="3B07FB44" w:rsidR="00F97798" w:rsidRDefault="00F97798" w:rsidP="00D92231">
      <w:pPr>
        <w:pStyle w:val="Allmrkusetekst"/>
        <w:jc w:val="both"/>
      </w:pPr>
      <w:r>
        <w:rPr>
          <w:rStyle w:val="Allmrkuseviide"/>
        </w:rPr>
        <w:footnoteRef/>
      </w:r>
      <w:r>
        <w:t xml:space="preserve"> Kohtute seadustiku eelnõu seletuskiri, lk 1. Arvutivõrgus kättesaadav: </w:t>
      </w:r>
      <w:hyperlink r:id="rId4" w:history="1">
        <w:r w:rsidRPr="006C2DFC">
          <w:rPr>
            <w:rStyle w:val="Hperlink"/>
          </w:rPr>
          <w:t>https://www.ra.ee/dgs/explorer.php</w:t>
        </w:r>
      </w:hyperlink>
    </w:p>
  </w:footnote>
  <w:footnote w:id="8">
    <w:p w14:paraId="5987C5C7" w14:textId="2B347FB8" w:rsidR="00FE3030" w:rsidRDefault="00FE3030" w:rsidP="00D92231">
      <w:pPr>
        <w:pStyle w:val="Allmrkusetekst"/>
        <w:jc w:val="both"/>
      </w:pPr>
      <w:r>
        <w:rPr>
          <w:rStyle w:val="Allmrkuseviide"/>
        </w:rPr>
        <w:footnoteRef/>
      </w:r>
      <w:r>
        <w:t xml:space="preserve"> Arvutivõrgus kättesaadav: </w:t>
      </w:r>
      <w:hyperlink r:id="rId5" w:history="1">
        <w:r w:rsidRPr="00935ECA">
          <w:rPr>
            <w:rStyle w:val="Hperlink"/>
          </w:rPr>
          <w:t>file:///C:/Users/janarj2/Downloads/NLE13A008600.pdf</w:t>
        </w:r>
      </w:hyperlink>
      <w:r>
        <w:t>.</w:t>
      </w:r>
    </w:p>
  </w:footnote>
  <w:footnote w:id="9">
    <w:p w14:paraId="39951F7E" w14:textId="4DAC7BDC" w:rsidR="003B64E1" w:rsidRDefault="003B64E1" w:rsidP="00D92231">
      <w:pPr>
        <w:pStyle w:val="Allmrkusetekst"/>
        <w:jc w:val="both"/>
      </w:pPr>
      <w:r>
        <w:rPr>
          <w:rStyle w:val="Allmrkuseviide"/>
        </w:rPr>
        <w:footnoteRef/>
      </w:r>
      <w:r>
        <w:t xml:space="preserve"> Olgu siinkohal öeldud, et erinevate aegadel kasutatud oskussõnade mõistemahud ja nende oskussõnade abil kirjeldatud esemete ja nähtuste olulised tunnused ei pruukinud kattuda. Aga see ei väära seda, et mingi oskussõna oli juba kasutusel pikemat aega, kuigi ajas võib</w:t>
      </w:r>
      <w:r w:rsidR="00D5315A">
        <w:t>-</w:t>
      </w:r>
      <w:r>
        <w:t>olla selle sisulist tähendust muudeti</w:t>
      </w:r>
      <w:r w:rsidR="00607070">
        <w:t xml:space="preserve"> (nt konkreetse kohtuorgani pädevus ja volitused ning tema asukoht kohtuhierarhias)</w:t>
      </w:r>
      <w:r>
        <w:t>. Käesoleva töö eesmärk ei ole välja selgitada mõistemahtude sisulisi kattuvusi ja erisusi. Eesmärk on näidata, et mingi oskussõna on pika ajalooga, nt ringkonnakohus.</w:t>
      </w:r>
    </w:p>
  </w:footnote>
  <w:footnote w:id="10">
    <w:p w14:paraId="2A2FE1B3" w14:textId="15792299" w:rsidR="003D570C" w:rsidRDefault="003D570C" w:rsidP="003B64E1">
      <w:pPr>
        <w:pStyle w:val="Allmrkusetekst"/>
        <w:jc w:val="both"/>
      </w:pPr>
      <w:r>
        <w:rPr>
          <w:rStyle w:val="Allmrkuseviide"/>
        </w:rPr>
        <w:footnoteRef/>
      </w:r>
      <w:r>
        <w:t xml:space="preserve"> RT 1981, 1. K. </w:t>
      </w:r>
      <w:r>
        <w:t xml:space="preserve">Grau. Advokatuuri õigusajaloolise arengu põhijooni Eestis. Juriidiline ajakiri „Õigus“, 1939, nr 9, lk 385. Arvutivõrgus kättesaadav: </w:t>
      </w:r>
      <w:hyperlink r:id="rId6" w:history="1">
        <w:r w:rsidRPr="006C2DFC">
          <w:rPr>
            <w:rStyle w:val="Hperlink"/>
          </w:rPr>
          <w:t>https://cms.advokatuur.ee/app/uploads/2023/07/oigus-nr-9-1939-pdf-1.pdf</w:t>
        </w:r>
      </w:hyperlink>
      <w:r>
        <w:t>.</w:t>
      </w:r>
    </w:p>
  </w:footnote>
  <w:footnote w:id="11">
    <w:p w14:paraId="62180AA4" w14:textId="06155B17" w:rsidR="003856BF" w:rsidRDefault="003856BF" w:rsidP="00640EE1">
      <w:pPr>
        <w:pStyle w:val="Allmrkusetekst"/>
        <w:jc w:val="both"/>
      </w:pPr>
      <w:r>
        <w:rPr>
          <w:rStyle w:val="Allmrkuseviide"/>
        </w:rPr>
        <w:footnoteRef/>
      </w:r>
      <w:r>
        <w:t xml:space="preserve"> K. </w:t>
      </w:r>
      <w:r>
        <w:t xml:space="preserve">Grau. Advokatuuri õigusajaloolise arengu põhijooni Eestis. Juriidiline ajakiri „Õigus“, 1939, nr 9, lk 385. Arvutivõrgus kättesaadav: </w:t>
      </w:r>
      <w:hyperlink r:id="rId7" w:history="1">
        <w:r w:rsidRPr="006C2DFC">
          <w:rPr>
            <w:rStyle w:val="Hperlink"/>
          </w:rPr>
          <w:t>https://cms.advokatuur.ee/app/uploads/2023/07/oigus-nr-9-1939-pdf-1.pdf</w:t>
        </w:r>
      </w:hyperlink>
      <w:r>
        <w:t>.</w:t>
      </w:r>
    </w:p>
  </w:footnote>
  <w:footnote w:id="12">
    <w:p w14:paraId="422858A6" w14:textId="3473ED14" w:rsidR="005A62AC" w:rsidRDefault="005A62AC" w:rsidP="00640EE1">
      <w:pPr>
        <w:pStyle w:val="Allmrkusetekst"/>
        <w:jc w:val="both"/>
      </w:pPr>
      <w:r>
        <w:rPr>
          <w:rStyle w:val="Allmrkuseviide"/>
        </w:rPr>
        <w:footnoteRef/>
      </w:r>
      <w:r>
        <w:t xml:space="preserve"> Sellel ajal täitis ta </w:t>
      </w:r>
      <w:r w:rsidR="005E25EB">
        <w:t>ülem apellatsioonikohtu ülesandeid. Alam apellats</w:t>
      </w:r>
      <w:r w:rsidR="007F465A">
        <w:t>i</w:t>
      </w:r>
      <w:r w:rsidR="005E25EB">
        <w:t xml:space="preserve">oonikohtu ülesandeid täitis Rahukogu. Selle kohta vt Ajutiste kohtute sisseseadmise seaduse eelnõu seletuskiri, lk 1. </w:t>
      </w:r>
      <w:r w:rsidR="007F465A" w:rsidRPr="007F465A">
        <w:t>Arvutivõrgus kättesaadav</w:t>
      </w:r>
      <w:r w:rsidR="005E25EB">
        <w:t xml:space="preserve">: </w:t>
      </w:r>
      <w:hyperlink r:id="rId8" w:history="1">
        <w:r w:rsidR="005E25EB" w:rsidRPr="006C2DFC">
          <w:rPr>
            <w:rStyle w:val="Hperlink"/>
          </w:rPr>
          <w:t>https://www.ra.ee/dgs/explorer.php</w:t>
        </w:r>
      </w:hyperlink>
      <w:r w:rsidR="005E25EB">
        <w:t>.</w:t>
      </w:r>
    </w:p>
  </w:footnote>
  <w:footnote w:id="13">
    <w:p w14:paraId="3A350A56" w14:textId="564800F9" w:rsidR="007C28F1" w:rsidRDefault="007C28F1">
      <w:pPr>
        <w:pStyle w:val="Allmrkusetekst"/>
      </w:pPr>
      <w:r>
        <w:rPr>
          <w:rStyle w:val="Allmrkuseviide"/>
        </w:rPr>
        <w:footnoteRef/>
      </w:r>
      <w:r>
        <w:t xml:space="preserve"> Tõlgendamismeetodite kohta vt R. </w:t>
      </w:r>
      <w:r>
        <w:t>Alexy. Põhiõigused Eesti põhiseaduses. Juridica, eriväljaanne, 2001, punkt 1.2.</w:t>
      </w:r>
    </w:p>
  </w:footnote>
  <w:footnote w:id="14">
    <w:p w14:paraId="35F75A08" w14:textId="77777777" w:rsidR="00782EE0" w:rsidRDefault="00782EE0" w:rsidP="00782EE0">
      <w:pPr>
        <w:pStyle w:val="Allmrkusetekst"/>
      </w:pPr>
      <w:r w:rsidRPr="00C158A7">
        <w:rPr>
          <w:rStyle w:val="Allmrkuseviide"/>
        </w:rPr>
        <w:footnoteRef/>
      </w:r>
      <w:r w:rsidRPr="00C158A7">
        <w:t xml:space="preserve"> Selle kohta vt lähemalt, joonealune viide 3.</w:t>
      </w:r>
    </w:p>
  </w:footnote>
  <w:footnote w:id="15">
    <w:p w14:paraId="6D45A318" w14:textId="77777777" w:rsidR="00782EE0" w:rsidRDefault="00782EE0" w:rsidP="00782EE0">
      <w:pPr>
        <w:pStyle w:val="Allmrkusetekst"/>
        <w:jc w:val="both"/>
      </w:pPr>
      <w:r>
        <w:rPr>
          <w:rStyle w:val="Allmrkuseviide"/>
        </w:rPr>
        <w:footnoteRef/>
      </w:r>
      <w:r>
        <w:t xml:space="preserve"> Tsaariajal ei tohtinud talurahvakohtute teine aste olla kohtu paiknemise piirkonna keskpunktist kaugemal kui 40 versta. Näiteks Ülemtalurahvakohtute ringkondade keskmine pindala oli 2541 km</w:t>
      </w:r>
      <w:r>
        <w:rPr>
          <w:vertAlign w:val="superscript"/>
        </w:rPr>
        <w:t>2</w:t>
      </w:r>
      <w:r>
        <w:t xml:space="preserve"> ning elanikke ringkonnas keskmiselt 45 217. Liikumisvõimaluse määras hobuste olemasolu ja nende arv. Vt T. </w:t>
      </w:r>
      <w:r>
        <w:t>Anepaio, lk 105 ja 113-115.</w:t>
      </w:r>
    </w:p>
  </w:footnote>
  <w:footnote w:id="16">
    <w:p w14:paraId="238EC6C8" w14:textId="2B449048" w:rsidR="00782EE0" w:rsidRDefault="00782EE0" w:rsidP="00782EE0">
      <w:pPr>
        <w:pStyle w:val="Allmrkusetekst"/>
        <w:jc w:val="both"/>
      </w:pPr>
      <w:r>
        <w:rPr>
          <w:rStyle w:val="Allmrkuseviide"/>
        </w:rPr>
        <w:footnoteRef/>
      </w:r>
      <w:r>
        <w:t xml:space="preserve"> Tänapäeva faktorite kohta, vt joonealune </w:t>
      </w:r>
      <w:r w:rsidRPr="00C158A7">
        <w:t>viide 3</w:t>
      </w:r>
      <w:r w:rsidR="008A2942">
        <w:t>1</w:t>
      </w:r>
      <w:r w:rsidRPr="00C158A7">
        <w:t>.</w:t>
      </w:r>
    </w:p>
  </w:footnote>
  <w:footnote w:id="17">
    <w:p w14:paraId="71D9E34D" w14:textId="77777777" w:rsidR="00F21529" w:rsidRDefault="00F21529" w:rsidP="00F21529">
      <w:pPr>
        <w:pStyle w:val="Allmrkusetekst"/>
        <w:jc w:val="both"/>
      </w:pPr>
      <w:r>
        <w:rPr>
          <w:rStyle w:val="Allmrkuseviide"/>
        </w:rPr>
        <w:footnoteRef/>
      </w:r>
      <w:r>
        <w:t xml:space="preserve"> Vrd </w:t>
      </w:r>
      <w:r w:rsidRPr="00E33998">
        <w:t>European Commission for the Efficiency of Justice juhend Guidelines on the Creation of Judicial Maps to Support Access to Justice within a Quality Judicial System, CEPEJ(2013)7</w:t>
      </w:r>
      <w:r>
        <w:t xml:space="preserve"> (EC juhend), p 2.3.9.</w:t>
      </w:r>
    </w:p>
  </w:footnote>
  <w:footnote w:id="18">
    <w:p w14:paraId="5FFF7261" w14:textId="77777777" w:rsidR="00782EE0" w:rsidRDefault="00782EE0" w:rsidP="00782EE0">
      <w:pPr>
        <w:pStyle w:val="Allmrkusetekst"/>
        <w:jc w:val="both"/>
      </w:pPr>
      <w:r>
        <w:rPr>
          <w:rStyle w:val="Allmrkuseviide"/>
        </w:rPr>
        <w:footnoteRef/>
      </w:r>
      <w:r>
        <w:t xml:space="preserve"> </w:t>
      </w:r>
      <w:r w:rsidRPr="001D12D2">
        <w:t>Arvestada tuleb omaaegset konteksti, kus puudusid tänapäeva võimalused kiireks</w:t>
      </w:r>
      <w:r>
        <w:t xml:space="preserve"> liikumiseks ja</w:t>
      </w:r>
      <w:r w:rsidRPr="001D12D2">
        <w:t xml:space="preserve"> suhtluseks.</w:t>
      </w:r>
    </w:p>
  </w:footnote>
  <w:footnote w:id="19">
    <w:p w14:paraId="6514B50E" w14:textId="7AA165B3" w:rsidR="00BF2995" w:rsidRDefault="00BF2995" w:rsidP="00F12B0E">
      <w:pPr>
        <w:pStyle w:val="Allmrkusetekst"/>
        <w:jc w:val="both"/>
      </w:pPr>
      <w:r>
        <w:rPr>
          <w:rStyle w:val="Allmrkuseviide"/>
        </w:rPr>
        <w:footnoteRef/>
      </w:r>
      <w:r>
        <w:t xml:space="preserve"> </w:t>
      </w:r>
      <w:r w:rsidR="00F12B0E">
        <w:t>Vaieldav võib olla see, kas see seisukoht on süsteemselt läbi mõeldud ja universaalne või see tuleb seostada üksnes riigihanke vaidlustega. Nimelt on kohtuvaidlusi, mis algavad Riigikohtus, nt kaebused Vabariigi Valimiskomisjoni, Riigikogu, Riigikogu juhatuse ja Vabariigi Presidendi otsuste peale (PSJKS §-d 16–24 ja §-d 37–46). Samuti algab otse kohtuasi kohaliku omavalitsuse üksuse nn individuaalkaebusega Riigikohtule (PSJKS § 7).</w:t>
      </w:r>
      <w:r w:rsidR="00177775">
        <w:t xml:space="preserve"> </w:t>
      </w:r>
    </w:p>
  </w:footnote>
  <w:footnote w:id="20">
    <w:p w14:paraId="7B54D04C" w14:textId="5ED5064A" w:rsidR="00DB6074" w:rsidRDefault="00DB6074" w:rsidP="00DB6074">
      <w:pPr>
        <w:pStyle w:val="Allmrkusetekst"/>
        <w:jc w:val="both"/>
      </w:pPr>
      <w:r>
        <w:rPr>
          <w:rStyle w:val="Allmrkuseviide"/>
        </w:rPr>
        <w:footnoteRef/>
      </w:r>
      <w:r>
        <w:t xml:space="preserve"> Olgu siinkohal selgituseks märgitud, et HKMS-i §-s 7 sätestatud üldreegli kohaselt tuleb kaebus esitada vastustaja asukoha või teenistuskoha järgi, v.a HKMS-i §-s 8 sätestatud erandid. HKMS-s sätestatud üldreegli kohaselt ei oma kaebaja asukoht kohtualluvuse kindlaks tegemisel tähendust, v.a vaidlused Maksu- ja Tolliameti ning Sotsiaalkindlustusametiga, mille puhul esitatakse kaebus kaebaja elu- või asukoha järgi.</w:t>
      </w:r>
      <w:r w:rsidR="00405780">
        <w:t xml:space="preserve"> Sotsiaalkindlustusameti erand jõustus seaduses 1. jaanuaril 2018 ehk pärast </w:t>
      </w:r>
      <w:r w:rsidR="00405780">
        <w:t>RKPJKo asjas nr 3-4-1-31-15</w:t>
      </w:r>
      <w:r w:rsidR="005A5DB4">
        <w:t xml:space="preserve"> tehtud lahendit</w:t>
      </w:r>
      <w:r w:rsidR="00405780">
        <w:t xml:space="preserve">. </w:t>
      </w:r>
    </w:p>
  </w:footnote>
  <w:footnote w:id="21">
    <w:p w14:paraId="7A6C4D5D" w14:textId="1D235EEB" w:rsidR="00E33998" w:rsidRDefault="00E33998" w:rsidP="00E33998">
      <w:pPr>
        <w:pStyle w:val="Allmrkusetekst"/>
        <w:jc w:val="both"/>
      </w:pPr>
      <w:r>
        <w:rPr>
          <w:rStyle w:val="Allmrkuseviide"/>
        </w:rPr>
        <w:footnoteRef/>
      </w:r>
      <w:r>
        <w:t xml:space="preserve"> Selle kohta vt </w:t>
      </w:r>
      <w:r w:rsidR="00F34AB7">
        <w:t>(EC juhend)</w:t>
      </w:r>
      <w:r>
        <w:t>, p 2.3.4.</w:t>
      </w:r>
    </w:p>
  </w:footnote>
  <w:footnote w:id="22">
    <w:p w14:paraId="418CC766" w14:textId="768B615D" w:rsidR="00E33998" w:rsidRDefault="00E33998" w:rsidP="00F34AB7">
      <w:pPr>
        <w:pStyle w:val="Allmrkusetekst"/>
        <w:jc w:val="both"/>
      </w:pPr>
      <w:r w:rsidRPr="007C28F1">
        <w:rPr>
          <w:rStyle w:val="Allmrkuseviide"/>
        </w:rPr>
        <w:footnoteRef/>
      </w:r>
      <w:r w:rsidRPr="007C28F1">
        <w:t xml:space="preserve"> </w:t>
      </w:r>
      <w:r w:rsidR="007C28F1" w:rsidRPr="007C28F1">
        <w:t>Õigusemõistmisele v</w:t>
      </w:r>
      <w:r w:rsidRPr="007C28F1">
        <w:t>õrdsele juurdepääsu</w:t>
      </w:r>
      <w:r w:rsidR="007C28F1" w:rsidRPr="007C28F1">
        <w:t xml:space="preserve"> kontekstis</w:t>
      </w:r>
      <w:r w:rsidRPr="007C28F1">
        <w:t xml:space="preserve"> tuleb</w:t>
      </w:r>
      <w:r w:rsidR="007C28F1" w:rsidRPr="007C28F1">
        <w:t xml:space="preserve"> probleemsena nt</w:t>
      </w:r>
      <w:r w:rsidRPr="007C28F1">
        <w:t xml:space="preserve"> käsitada </w:t>
      </w:r>
      <w:r w:rsidR="007C28F1" w:rsidRPr="007C28F1">
        <w:t>olukorda</w:t>
      </w:r>
      <w:r w:rsidRPr="007C28F1">
        <w:t>, ku</w:t>
      </w:r>
      <w:r w:rsidR="007C28F1" w:rsidRPr="007C28F1">
        <w:t>s</w:t>
      </w:r>
      <w:r w:rsidRPr="007C28F1">
        <w:t xml:space="preserve"> eakas inimene või inimene, kellel puudub auto, või puudub piisava sagedusega ühistransport, </w:t>
      </w:r>
      <w:r w:rsidR="00AF5A7C" w:rsidRPr="007C28F1">
        <w:t>peab ilmuma</w:t>
      </w:r>
      <w:r w:rsidRPr="007C28F1">
        <w:t xml:space="preserve"> hommikul kohtuistungile.</w:t>
      </w:r>
      <w:r w:rsidR="00F34AB7" w:rsidRPr="007C28F1">
        <w:t xml:space="preserve"> Selle kohta vt EC juhend, p 2.3.4.</w:t>
      </w:r>
    </w:p>
  </w:footnote>
  <w:footnote w:id="23">
    <w:p w14:paraId="50BA96CB" w14:textId="40E97F67" w:rsidR="00792ACD" w:rsidRDefault="00792ACD">
      <w:pPr>
        <w:pStyle w:val="Allmrkusetekst"/>
      </w:pPr>
      <w:r>
        <w:rPr>
          <w:rStyle w:val="Allmrkuseviide"/>
        </w:rPr>
        <w:footnoteRef/>
      </w:r>
      <w:r>
        <w:t xml:space="preserve"> Selle kohta vt nt R. Maruste. Konstitutsionalism ning põhiõiguste ja vabaduste kaitse. Kirjastus Juura. Tallinn, 2004, lk 34. </w:t>
      </w:r>
    </w:p>
  </w:footnote>
  <w:footnote w:id="24">
    <w:p w14:paraId="26E6BFAD" w14:textId="6F8DA9FE" w:rsidR="0000665B" w:rsidRDefault="0000665B">
      <w:pPr>
        <w:pStyle w:val="Allmrkusetekst"/>
      </w:pPr>
      <w:r>
        <w:rPr>
          <w:rStyle w:val="Allmrkuseviide"/>
        </w:rPr>
        <w:footnoteRef/>
      </w:r>
      <w:r>
        <w:t xml:space="preserve"> Selle kohta vt </w:t>
      </w:r>
      <w:r>
        <w:t>RKÜKo 23- veebruar 2009, 3-4-1-18-08, p-d 7, 13 ja 14.</w:t>
      </w:r>
    </w:p>
  </w:footnote>
  <w:footnote w:id="25">
    <w:p w14:paraId="0B7B98F7" w14:textId="375E3E55" w:rsidR="00305B8D" w:rsidRDefault="00305B8D" w:rsidP="00F34AB7">
      <w:pPr>
        <w:pStyle w:val="Allmrkusetekst"/>
        <w:jc w:val="both"/>
      </w:pPr>
      <w:r>
        <w:rPr>
          <w:rStyle w:val="Allmrkuseviide"/>
        </w:rPr>
        <w:footnoteRef/>
      </w:r>
      <w:r>
        <w:t xml:space="preserve"> Vt J. Thomas</w:t>
      </w:r>
      <w:r w:rsidR="002B53CA" w:rsidRPr="00AF5A7C">
        <w:t>.</w:t>
      </w:r>
      <w:r>
        <w:t xml:space="preserve"> Seisukohavõtt Eesti Vabariigi põhiseaduse XIII peatüki "Kohus" esitatud küsimuste kohta. Justiitsministeeriumi põhiseaduse juriidilise ekspertiisi komisjon, 1997, lk 15.</w:t>
      </w:r>
    </w:p>
  </w:footnote>
  <w:footnote w:id="26">
    <w:p w14:paraId="6F84D843" w14:textId="015C0339" w:rsidR="00782F35" w:rsidRDefault="00782F35" w:rsidP="00F34AB7">
      <w:pPr>
        <w:pStyle w:val="Allmrkusetekst"/>
        <w:jc w:val="both"/>
      </w:pPr>
      <w:r>
        <w:rPr>
          <w:rStyle w:val="Allmrkuseviide"/>
        </w:rPr>
        <w:footnoteRef/>
      </w:r>
      <w:r>
        <w:t xml:space="preserve"> Samas.</w:t>
      </w:r>
    </w:p>
  </w:footnote>
  <w:footnote w:id="27">
    <w:p w14:paraId="3153C9EF" w14:textId="5EDC1135" w:rsidR="00E36E4E" w:rsidRDefault="00E36E4E" w:rsidP="00244FDD">
      <w:pPr>
        <w:pStyle w:val="Allmrkusetekst"/>
        <w:jc w:val="both"/>
      </w:pPr>
      <w:r>
        <w:rPr>
          <w:rStyle w:val="Allmrkuseviide"/>
        </w:rPr>
        <w:footnoteRef/>
      </w:r>
      <w:r>
        <w:t xml:space="preserve"> Selle kohta vt ka J. Thomas, lk 18. Arvestada tuleb liidu õigusest ja Euroopa Kohtu praktikast tulenevaid erisusi õigusemõistmisel tekitatud kahju hüvitamisega (vt </w:t>
      </w:r>
      <w:r>
        <w:t>EuKo C-224/01 ja C-173/03). Vaieldav on, kas PS § 148 ja § 149 valguses on põhiseaduspärane jaatada esimese astme kohtu pädevust kontrollida Riigikohtu kui kõrgema astme kohtu tegevuse õiguspärasust õigusemõistmise ülesande täitmisel (vt RKHKo 3-20-1684). Liidu õigus ei kirjuta ette konkreetset menetlust selle kohta, kes ja kuidas peab sedalaadi vaidlusi riigisisese õiguse alusel lahendama. Selles valguses on põhjendatud analüüsida, kas luua erimenetluskord, tuvastamaks, kas Riigikohtu kolleegium on liidu õigust rikkunud. Selleks võib olla nt Riigikohtu kolleegium eriliigilises menetluses, kes tuvastab, kas liidu õiguse rikkumise alus esineb. Kui jah, siis saadetakse kahju hüvitamise asi kahju olemasolu, põhjusliku seose ja kahju ulatuse küsimustes esimese astme kohtule menetlemiseks. Kaaluda saaks ka teistmisaluste laiendamist.</w:t>
      </w:r>
    </w:p>
  </w:footnote>
  <w:footnote w:id="28">
    <w:p w14:paraId="1985CEDC" w14:textId="2F43F6EE" w:rsidR="00653761" w:rsidRDefault="00653761" w:rsidP="00244FDD">
      <w:pPr>
        <w:pStyle w:val="Allmrkusetekst"/>
        <w:jc w:val="both"/>
      </w:pPr>
      <w:r>
        <w:rPr>
          <w:rStyle w:val="Allmrkuseviide"/>
        </w:rPr>
        <w:footnoteRef/>
      </w:r>
      <w:r>
        <w:t xml:space="preserve"> Teisteks põhiseaduslikeks organiteks on v</w:t>
      </w:r>
      <w:r w:rsidR="000C5F5B">
        <w:t>eel näiteks</w:t>
      </w:r>
      <w:r>
        <w:t xml:space="preserve"> Riigikogu (vt PS IV </w:t>
      </w:r>
      <w:r>
        <w:t xml:space="preserve">ptk), </w:t>
      </w:r>
      <w:r w:rsidR="000C5F5B">
        <w:t>Vabariigi President (PS V ptk), Vabariigi Valitsus (PS VI ptk).</w:t>
      </w:r>
    </w:p>
  </w:footnote>
  <w:footnote w:id="29">
    <w:p w14:paraId="5483D1FB" w14:textId="04478842" w:rsidR="00CA5891" w:rsidRDefault="00CA5891" w:rsidP="00F34AB7">
      <w:pPr>
        <w:pStyle w:val="Allmrkusetekst"/>
        <w:jc w:val="both"/>
      </w:pPr>
      <w:r>
        <w:rPr>
          <w:rStyle w:val="Allmrkuseviide"/>
        </w:rPr>
        <w:footnoteRef/>
      </w:r>
      <w:r>
        <w:t xml:space="preserve"> Iseküsimus on, millise meetodi alusel tuleb need piirid paika panna. Esmalt on võimalik argumenteerida lähenemise kasuks, et põhiseaduses sätestatud riigiõiguslik</w:t>
      </w:r>
      <w:r w:rsidR="009E5438">
        <w:t>ke</w:t>
      </w:r>
      <w:r>
        <w:t xml:space="preserve"> korralduslik</w:t>
      </w:r>
      <w:r w:rsidR="007D7E8E">
        <w:t>ke</w:t>
      </w:r>
      <w:r>
        <w:t xml:space="preserve"> küsimusi tuleb analüüsida koos mõne konkreetse põhiõigusega</w:t>
      </w:r>
      <w:r w:rsidR="007D7E8E">
        <w:t xml:space="preserve">. Selle lähenemise aluseks on tees, et </w:t>
      </w:r>
      <w:r>
        <w:t>põhiseaduses sätestatud riigiõiguslik korraldus peab lõppastmes teenima põhiõigusi. Teine lähenemine näeb põhiseaduses sätestatud riigiõiguslikku korraldust iseseisva eesmärgina</w:t>
      </w:r>
      <w:r w:rsidRPr="004C1FE5">
        <w:t>, mi</w:t>
      </w:r>
      <w:r w:rsidR="004C1FE5">
        <w:t>lle kooskõla põhiseadusega</w:t>
      </w:r>
      <w:r w:rsidRPr="004C1FE5">
        <w:t xml:space="preserve"> </w:t>
      </w:r>
      <w:r w:rsidR="004C1FE5" w:rsidRPr="004C1FE5">
        <w:t xml:space="preserve">kontrollitake sõltumata </w:t>
      </w:r>
      <w:r w:rsidRPr="004C1FE5">
        <w:t>põhiõigustest.</w:t>
      </w:r>
      <w:r>
        <w:t xml:space="preserve"> Nimetatud vahetegu on oluline, kuna esimene lähenemine avab võimaluse erinevate valikute vahel kaalumise kasuks. Teine võimalus </w:t>
      </w:r>
      <w:r w:rsidR="009E5438">
        <w:t xml:space="preserve">ei võimalda </w:t>
      </w:r>
      <w:r>
        <w:t>erinevaid võimalusi kaaluda, vaid kontrollida tuleb, kas normi on järgitud või mitte. Riigikohu</w:t>
      </w:r>
      <w:r w:rsidR="007D7E8E">
        <w:t>s on</w:t>
      </w:r>
      <w:r>
        <w:t xml:space="preserve"> senises praktikas </w:t>
      </w:r>
      <w:r w:rsidR="007D7E8E">
        <w:t xml:space="preserve">pidanud võimalikuks analüüsida ka üksnes riigiõiguslikku korralduslikku küsimust ilma </w:t>
      </w:r>
      <w:r>
        <w:t>konkreetse põhiõiguseta, nt VAKO kaasus.</w:t>
      </w:r>
    </w:p>
  </w:footnote>
  <w:footnote w:id="30">
    <w:p w14:paraId="305B5FE6" w14:textId="1BFAC05E" w:rsidR="00C338D9" w:rsidRDefault="00C338D9">
      <w:pPr>
        <w:pStyle w:val="Allmrkusetekst"/>
      </w:pPr>
      <w:r>
        <w:rPr>
          <w:rStyle w:val="Allmrkuseviide"/>
        </w:rPr>
        <w:footnoteRef/>
      </w:r>
      <w:r>
        <w:t xml:space="preserve"> Vt Eesti keele seletav sõnaraamat. 2., täiendatud ja parandatud trükk</w:t>
      </w:r>
    </w:p>
  </w:footnote>
  <w:footnote w:id="31">
    <w:p w14:paraId="61AD8ACE" w14:textId="71074825" w:rsidR="00F34AB7" w:rsidRDefault="00F34AB7" w:rsidP="00F34AB7">
      <w:pPr>
        <w:pStyle w:val="Allmrkusetekst"/>
        <w:jc w:val="both"/>
      </w:pPr>
      <w:r w:rsidRPr="004C1FE5">
        <w:rPr>
          <w:rStyle w:val="Allmrkuseviide"/>
        </w:rPr>
        <w:footnoteRef/>
      </w:r>
      <w:r w:rsidRPr="004C1FE5">
        <w:t xml:space="preserve"> Võimalik on eristada kassatsiooni, revisjoni ja apellatsiooni mudeleid. Kontinentaal</w:t>
      </w:r>
      <w:r w:rsidR="004C1FE5" w:rsidRPr="004C1FE5">
        <w:t>ne</w:t>
      </w:r>
      <w:r w:rsidRPr="004C1FE5">
        <w:t xml:space="preserve"> õigussüsteemi</w:t>
      </w:r>
      <w:r>
        <w:t xml:space="preserve"> kassatsioonikohtud arenesid kohtutest, kelle esmaseks ülesandeks oli avalike huvide teenimine, nagu näiteks õigusaktide ühetaoline kohaldamine ning ühtse kohtupraktika tagamine. Hiljem on kassatsioonikohtutele poogitud juurde ka eraisikute erahuvide kaitsmise ülesanne. Selle kohta vt lähemalt </w:t>
      </w:r>
      <w:r>
        <w:t>Sofie M.F. Geeroms. Comparative Law and Legal Translation: Why the Terms Cassation, Revision and Appeal Should Not be Translated… The American Journal of Comparative Law. Vol. 50, No 1, 2002, pp 201–228.</w:t>
      </w:r>
      <w:r w:rsidR="000D181B">
        <w:t xml:space="preserve"> Selle kohta vt ka J. Thomas, lk 17.</w:t>
      </w:r>
    </w:p>
  </w:footnote>
  <w:footnote w:id="32">
    <w:p w14:paraId="59B2EB75" w14:textId="77777777" w:rsidR="00F34AB7" w:rsidRDefault="00F34AB7" w:rsidP="00F34AB7">
      <w:pPr>
        <w:pStyle w:val="Allmrkusetekst"/>
      </w:pPr>
      <w:r>
        <w:rPr>
          <w:rStyle w:val="Allmrkuseviide"/>
        </w:rPr>
        <w:footnoteRef/>
      </w:r>
      <w:r>
        <w:t xml:space="preserve"> Indrek Koolmeistri ja Jaak Luige eriarvamus Riigikohtu otsusele asjas nr 3-4-1-31-15, p 2.</w:t>
      </w:r>
    </w:p>
  </w:footnote>
  <w:footnote w:id="33">
    <w:p w14:paraId="7C42A3CE" w14:textId="77777777" w:rsidR="006F6A42" w:rsidRDefault="006F6A42" w:rsidP="006F6A42">
      <w:pPr>
        <w:pStyle w:val="Allmrkusetekst"/>
        <w:jc w:val="both"/>
      </w:pPr>
      <w:r>
        <w:rPr>
          <w:rStyle w:val="Allmrkuseviide"/>
        </w:rPr>
        <w:footnoteRef/>
      </w:r>
      <w:r>
        <w:t xml:space="preserve"> Tasakaalu leidmiseks kohtuorganisatsiooni ja kohtusse </w:t>
      </w:r>
      <w:r>
        <w:t>pöördujate vahel on kasutatud erinevaid faktoreid. Põhifaktoritena on käsitatud järgmisi faktoreid: 1) rahvastiku tihedus, 2) kohtu suurus, 3) töökoormus ja asjade voog; 4) geograafiline asukoht, infrastruktuur ja transport. Lisafaktoritena on käsitatud järgmisi faktoreid: 1) infotehnoloogiliste vahendite kasutamine; 2) kohtuvahendid (telefon, video) ja kultuuriline keerukus; 3) äritegevuse intensiivsus; 4) õigusabi kättesaadavus ning kohtunike ja kohtuteenistujate värbamine; 5) koostöö väliste organitega (vanglad, politsei, prokuratuur). Selle kohta vt täpsemalt EC juhis, p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D02"/>
    <w:multiLevelType w:val="hybridMultilevel"/>
    <w:tmpl w:val="2482FB5E"/>
    <w:lvl w:ilvl="0" w:tplc="3D88E162">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26A24A82"/>
    <w:multiLevelType w:val="hybridMultilevel"/>
    <w:tmpl w:val="4F68C1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1912FD"/>
    <w:multiLevelType w:val="hybridMultilevel"/>
    <w:tmpl w:val="C56419BA"/>
    <w:lvl w:ilvl="0" w:tplc="94F03E4E">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3B073CD4"/>
    <w:multiLevelType w:val="hybridMultilevel"/>
    <w:tmpl w:val="EB0CCB6A"/>
    <w:lvl w:ilvl="0" w:tplc="EF7CF0B4">
      <w:start w:val="1"/>
      <w:numFmt w:val="decimal"/>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42D643F7"/>
    <w:multiLevelType w:val="hybridMultilevel"/>
    <w:tmpl w:val="2CD40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000FBE"/>
    <w:multiLevelType w:val="hybridMultilevel"/>
    <w:tmpl w:val="EC06668C"/>
    <w:lvl w:ilvl="0" w:tplc="0A36391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52863490"/>
    <w:multiLevelType w:val="hybridMultilevel"/>
    <w:tmpl w:val="44421650"/>
    <w:lvl w:ilvl="0" w:tplc="986ABAF8">
      <w:start w:val="3"/>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551C48C5"/>
    <w:multiLevelType w:val="hybridMultilevel"/>
    <w:tmpl w:val="705614A2"/>
    <w:lvl w:ilvl="0" w:tplc="EB642226">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70C517A0"/>
    <w:multiLevelType w:val="hybridMultilevel"/>
    <w:tmpl w:val="ABF20D32"/>
    <w:lvl w:ilvl="0" w:tplc="90D0F730">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1C90EB0"/>
    <w:multiLevelType w:val="hybridMultilevel"/>
    <w:tmpl w:val="705614A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4B92975"/>
    <w:multiLevelType w:val="hybridMultilevel"/>
    <w:tmpl w:val="3A928564"/>
    <w:lvl w:ilvl="0" w:tplc="EB642226">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776351EA"/>
    <w:multiLevelType w:val="hybridMultilevel"/>
    <w:tmpl w:val="29FE847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31302735">
    <w:abstractNumId w:val="1"/>
  </w:num>
  <w:num w:numId="2" w16cid:durableId="1872105623">
    <w:abstractNumId w:val="4"/>
  </w:num>
  <w:num w:numId="3" w16cid:durableId="1591616304">
    <w:abstractNumId w:val="11"/>
  </w:num>
  <w:num w:numId="4" w16cid:durableId="1146508413">
    <w:abstractNumId w:val="5"/>
  </w:num>
  <w:num w:numId="5" w16cid:durableId="1942256561">
    <w:abstractNumId w:val="3"/>
  </w:num>
  <w:num w:numId="6" w16cid:durableId="350494447">
    <w:abstractNumId w:val="7"/>
  </w:num>
  <w:num w:numId="7" w16cid:durableId="413086927">
    <w:abstractNumId w:val="0"/>
  </w:num>
  <w:num w:numId="8" w16cid:durableId="804006696">
    <w:abstractNumId w:val="6"/>
  </w:num>
  <w:num w:numId="9" w16cid:durableId="414398720">
    <w:abstractNumId w:val="9"/>
  </w:num>
  <w:num w:numId="10" w16cid:durableId="389112572">
    <w:abstractNumId w:val="10"/>
  </w:num>
  <w:num w:numId="11" w16cid:durableId="2125416704">
    <w:abstractNumId w:val="8"/>
  </w:num>
  <w:num w:numId="12" w16cid:durableId="153650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0"/>
    <w:rsid w:val="00000730"/>
    <w:rsid w:val="0000665B"/>
    <w:rsid w:val="00012F1A"/>
    <w:rsid w:val="00016C5A"/>
    <w:rsid w:val="00032092"/>
    <w:rsid w:val="000376F9"/>
    <w:rsid w:val="000455F7"/>
    <w:rsid w:val="00056737"/>
    <w:rsid w:val="0006390B"/>
    <w:rsid w:val="000703AE"/>
    <w:rsid w:val="00070489"/>
    <w:rsid w:val="000731BC"/>
    <w:rsid w:val="0009575E"/>
    <w:rsid w:val="00096E7C"/>
    <w:rsid w:val="000A7969"/>
    <w:rsid w:val="000A7F37"/>
    <w:rsid w:val="000C439A"/>
    <w:rsid w:val="000C5F5B"/>
    <w:rsid w:val="000C6ABA"/>
    <w:rsid w:val="000D181B"/>
    <w:rsid w:val="000D27F0"/>
    <w:rsid w:val="000D6D46"/>
    <w:rsid w:val="000D73A5"/>
    <w:rsid w:val="000E07CA"/>
    <w:rsid w:val="000F127D"/>
    <w:rsid w:val="00124B08"/>
    <w:rsid w:val="00133D42"/>
    <w:rsid w:val="00137144"/>
    <w:rsid w:val="001371C4"/>
    <w:rsid w:val="00145841"/>
    <w:rsid w:val="0015329E"/>
    <w:rsid w:val="00161CE6"/>
    <w:rsid w:val="00165BB9"/>
    <w:rsid w:val="00167596"/>
    <w:rsid w:val="00171003"/>
    <w:rsid w:val="00171F8F"/>
    <w:rsid w:val="00177775"/>
    <w:rsid w:val="00183A8E"/>
    <w:rsid w:val="00187A75"/>
    <w:rsid w:val="001932FF"/>
    <w:rsid w:val="001B35EE"/>
    <w:rsid w:val="001D12D2"/>
    <w:rsid w:val="001D1771"/>
    <w:rsid w:val="001D3DDE"/>
    <w:rsid w:val="001F4341"/>
    <w:rsid w:val="00214FF6"/>
    <w:rsid w:val="00237DAE"/>
    <w:rsid w:val="00244100"/>
    <w:rsid w:val="00244FDD"/>
    <w:rsid w:val="0024643B"/>
    <w:rsid w:val="00254DF8"/>
    <w:rsid w:val="00261C44"/>
    <w:rsid w:val="00264385"/>
    <w:rsid w:val="0026610D"/>
    <w:rsid w:val="00267665"/>
    <w:rsid w:val="0027077E"/>
    <w:rsid w:val="00275106"/>
    <w:rsid w:val="00283706"/>
    <w:rsid w:val="002913A5"/>
    <w:rsid w:val="00296EBB"/>
    <w:rsid w:val="002A4FB2"/>
    <w:rsid w:val="002B1ECE"/>
    <w:rsid w:val="002B53CA"/>
    <w:rsid w:val="002C115A"/>
    <w:rsid w:val="002C5F7C"/>
    <w:rsid w:val="002D47F9"/>
    <w:rsid w:val="002D5FD9"/>
    <w:rsid w:val="002D64EB"/>
    <w:rsid w:val="00305B8D"/>
    <w:rsid w:val="00316DA2"/>
    <w:rsid w:val="00332FDA"/>
    <w:rsid w:val="00341913"/>
    <w:rsid w:val="00347F68"/>
    <w:rsid w:val="003515D6"/>
    <w:rsid w:val="003534E1"/>
    <w:rsid w:val="003610D6"/>
    <w:rsid w:val="00374D21"/>
    <w:rsid w:val="00382AD4"/>
    <w:rsid w:val="003856BF"/>
    <w:rsid w:val="0039649D"/>
    <w:rsid w:val="003975BF"/>
    <w:rsid w:val="003B64E1"/>
    <w:rsid w:val="003C1BDE"/>
    <w:rsid w:val="003C746E"/>
    <w:rsid w:val="003D484C"/>
    <w:rsid w:val="003D570C"/>
    <w:rsid w:val="003E33A6"/>
    <w:rsid w:val="00404847"/>
    <w:rsid w:val="00405780"/>
    <w:rsid w:val="00412E76"/>
    <w:rsid w:val="0043180A"/>
    <w:rsid w:val="00433019"/>
    <w:rsid w:val="004406C2"/>
    <w:rsid w:val="00441F8F"/>
    <w:rsid w:val="00446E6A"/>
    <w:rsid w:val="00472DA8"/>
    <w:rsid w:val="00473BE0"/>
    <w:rsid w:val="004821D6"/>
    <w:rsid w:val="004874E9"/>
    <w:rsid w:val="00490416"/>
    <w:rsid w:val="004A2E69"/>
    <w:rsid w:val="004B3B80"/>
    <w:rsid w:val="004B63F8"/>
    <w:rsid w:val="004C1FE5"/>
    <w:rsid w:val="004C2F48"/>
    <w:rsid w:val="004C31A3"/>
    <w:rsid w:val="004D4AF8"/>
    <w:rsid w:val="004E05C5"/>
    <w:rsid w:val="004E437D"/>
    <w:rsid w:val="004E684B"/>
    <w:rsid w:val="004E7023"/>
    <w:rsid w:val="004E7083"/>
    <w:rsid w:val="004F021F"/>
    <w:rsid w:val="004F1048"/>
    <w:rsid w:val="004F445B"/>
    <w:rsid w:val="004F4F28"/>
    <w:rsid w:val="004F7B2C"/>
    <w:rsid w:val="00512689"/>
    <w:rsid w:val="005212AE"/>
    <w:rsid w:val="00572CD4"/>
    <w:rsid w:val="00593C4D"/>
    <w:rsid w:val="00595808"/>
    <w:rsid w:val="00596BA1"/>
    <w:rsid w:val="005A5DB4"/>
    <w:rsid w:val="005A62AC"/>
    <w:rsid w:val="005B15AC"/>
    <w:rsid w:val="005B27A2"/>
    <w:rsid w:val="005C45AF"/>
    <w:rsid w:val="005D0B70"/>
    <w:rsid w:val="005D7D8B"/>
    <w:rsid w:val="005E25EB"/>
    <w:rsid w:val="005F130D"/>
    <w:rsid w:val="005F16B8"/>
    <w:rsid w:val="005F402C"/>
    <w:rsid w:val="005F4EC0"/>
    <w:rsid w:val="00603388"/>
    <w:rsid w:val="00607070"/>
    <w:rsid w:val="00614828"/>
    <w:rsid w:val="00615412"/>
    <w:rsid w:val="00634FB7"/>
    <w:rsid w:val="00640EE1"/>
    <w:rsid w:val="00643A05"/>
    <w:rsid w:val="00653717"/>
    <w:rsid w:val="00653761"/>
    <w:rsid w:val="00671F90"/>
    <w:rsid w:val="00672FFF"/>
    <w:rsid w:val="0067787A"/>
    <w:rsid w:val="00687EFC"/>
    <w:rsid w:val="00693293"/>
    <w:rsid w:val="00695A3F"/>
    <w:rsid w:val="006A5F1E"/>
    <w:rsid w:val="006A67DB"/>
    <w:rsid w:val="006B22FD"/>
    <w:rsid w:val="006B3A4F"/>
    <w:rsid w:val="006C606F"/>
    <w:rsid w:val="006D25FB"/>
    <w:rsid w:val="006D4559"/>
    <w:rsid w:val="006E04B9"/>
    <w:rsid w:val="006E0B43"/>
    <w:rsid w:val="006F1BA7"/>
    <w:rsid w:val="006F2066"/>
    <w:rsid w:val="006F6A42"/>
    <w:rsid w:val="006F6B12"/>
    <w:rsid w:val="0070657A"/>
    <w:rsid w:val="0072091F"/>
    <w:rsid w:val="007241E4"/>
    <w:rsid w:val="00740463"/>
    <w:rsid w:val="00744B79"/>
    <w:rsid w:val="00744ED6"/>
    <w:rsid w:val="00761096"/>
    <w:rsid w:val="007618A7"/>
    <w:rsid w:val="007633C2"/>
    <w:rsid w:val="00765132"/>
    <w:rsid w:val="00765426"/>
    <w:rsid w:val="00774929"/>
    <w:rsid w:val="0078153E"/>
    <w:rsid w:val="00782EE0"/>
    <w:rsid w:val="00782F35"/>
    <w:rsid w:val="007831E3"/>
    <w:rsid w:val="00792ACD"/>
    <w:rsid w:val="007C164F"/>
    <w:rsid w:val="007C1FBA"/>
    <w:rsid w:val="007C28F1"/>
    <w:rsid w:val="007C4AFF"/>
    <w:rsid w:val="007D7E8E"/>
    <w:rsid w:val="007E476A"/>
    <w:rsid w:val="007F2674"/>
    <w:rsid w:val="007F296A"/>
    <w:rsid w:val="007F465A"/>
    <w:rsid w:val="00812F3C"/>
    <w:rsid w:val="0081307D"/>
    <w:rsid w:val="008249C1"/>
    <w:rsid w:val="008318E3"/>
    <w:rsid w:val="00833D36"/>
    <w:rsid w:val="00847BF4"/>
    <w:rsid w:val="0085427E"/>
    <w:rsid w:val="00860685"/>
    <w:rsid w:val="00861860"/>
    <w:rsid w:val="00861FB0"/>
    <w:rsid w:val="008642B8"/>
    <w:rsid w:val="008848FA"/>
    <w:rsid w:val="0088584B"/>
    <w:rsid w:val="00890B91"/>
    <w:rsid w:val="008A2942"/>
    <w:rsid w:val="008A2CAE"/>
    <w:rsid w:val="008A78CB"/>
    <w:rsid w:val="008B2415"/>
    <w:rsid w:val="008B322A"/>
    <w:rsid w:val="008C72FA"/>
    <w:rsid w:val="008D2B5C"/>
    <w:rsid w:val="00902CEF"/>
    <w:rsid w:val="00905FF1"/>
    <w:rsid w:val="00911501"/>
    <w:rsid w:val="00932236"/>
    <w:rsid w:val="00933563"/>
    <w:rsid w:val="0096463B"/>
    <w:rsid w:val="00985F36"/>
    <w:rsid w:val="0099541B"/>
    <w:rsid w:val="009A443D"/>
    <w:rsid w:val="009A7BA2"/>
    <w:rsid w:val="009B4A06"/>
    <w:rsid w:val="009B64DC"/>
    <w:rsid w:val="009C0865"/>
    <w:rsid w:val="009D55F2"/>
    <w:rsid w:val="009D7B98"/>
    <w:rsid w:val="009E2283"/>
    <w:rsid w:val="009E5438"/>
    <w:rsid w:val="009E7CDE"/>
    <w:rsid w:val="009F02F9"/>
    <w:rsid w:val="009F4176"/>
    <w:rsid w:val="00A144BA"/>
    <w:rsid w:val="00A15E4B"/>
    <w:rsid w:val="00A20C5B"/>
    <w:rsid w:val="00A24358"/>
    <w:rsid w:val="00A362E0"/>
    <w:rsid w:val="00A40C69"/>
    <w:rsid w:val="00A42F5C"/>
    <w:rsid w:val="00A5637C"/>
    <w:rsid w:val="00A6057A"/>
    <w:rsid w:val="00A623C3"/>
    <w:rsid w:val="00A6783E"/>
    <w:rsid w:val="00A7201D"/>
    <w:rsid w:val="00A969D8"/>
    <w:rsid w:val="00AA12E0"/>
    <w:rsid w:val="00AB201B"/>
    <w:rsid w:val="00AB3BA3"/>
    <w:rsid w:val="00AB7F0F"/>
    <w:rsid w:val="00AD758D"/>
    <w:rsid w:val="00AE2923"/>
    <w:rsid w:val="00AF5A7C"/>
    <w:rsid w:val="00AF7B23"/>
    <w:rsid w:val="00B11527"/>
    <w:rsid w:val="00B23E32"/>
    <w:rsid w:val="00B36921"/>
    <w:rsid w:val="00B47F4D"/>
    <w:rsid w:val="00B55E50"/>
    <w:rsid w:val="00B55E88"/>
    <w:rsid w:val="00B571D3"/>
    <w:rsid w:val="00B66D54"/>
    <w:rsid w:val="00B802DF"/>
    <w:rsid w:val="00B829DD"/>
    <w:rsid w:val="00B94260"/>
    <w:rsid w:val="00BA3FDB"/>
    <w:rsid w:val="00BA47C0"/>
    <w:rsid w:val="00BA7F8C"/>
    <w:rsid w:val="00BE1C0A"/>
    <w:rsid w:val="00BF2995"/>
    <w:rsid w:val="00BF3BE2"/>
    <w:rsid w:val="00C06967"/>
    <w:rsid w:val="00C109FC"/>
    <w:rsid w:val="00C13341"/>
    <w:rsid w:val="00C158A7"/>
    <w:rsid w:val="00C22501"/>
    <w:rsid w:val="00C338D9"/>
    <w:rsid w:val="00C33E9A"/>
    <w:rsid w:val="00C37830"/>
    <w:rsid w:val="00C42FB4"/>
    <w:rsid w:val="00C448C8"/>
    <w:rsid w:val="00C44E0D"/>
    <w:rsid w:val="00C456E8"/>
    <w:rsid w:val="00C47D1C"/>
    <w:rsid w:val="00C50F8C"/>
    <w:rsid w:val="00C601BA"/>
    <w:rsid w:val="00C6535F"/>
    <w:rsid w:val="00C71CAB"/>
    <w:rsid w:val="00C76039"/>
    <w:rsid w:val="00C7634A"/>
    <w:rsid w:val="00C8382A"/>
    <w:rsid w:val="00C871BF"/>
    <w:rsid w:val="00CA3B2C"/>
    <w:rsid w:val="00CA5891"/>
    <w:rsid w:val="00CB0455"/>
    <w:rsid w:val="00CC7783"/>
    <w:rsid w:val="00CD3FDF"/>
    <w:rsid w:val="00CE33CC"/>
    <w:rsid w:val="00CF280F"/>
    <w:rsid w:val="00CF5D31"/>
    <w:rsid w:val="00CF6886"/>
    <w:rsid w:val="00CF74AD"/>
    <w:rsid w:val="00D01DED"/>
    <w:rsid w:val="00D043D8"/>
    <w:rsid w:val="00D10393"/>
    <w:rsid w:val="00D2527C"/>
    <w:rsid w:val="00D2687D"/>
    <w:rsid w:val="00D34E15"/>
    <w:rsid w:val="00D43605"/>
    <w:rsid w:val="00D51463"/>
    <w:rsid w:val="00D5315A"/>
    <w:rsid w:val="00D53D05"/>
    <w:rsid w:val="00D5729F"/>
    <w:rsid w:val="00D61E23"/>
    <w:rsid w:val="00D71B17"/>
    <w:rsid w:val="00D92231"/>
    <w:rsid w:val="00D92AEF"/>
    <w:rsid w:val="00DA058A"/>
    <w:rsid w:val="00DB2578"/>
    <w:rsid w:val="00DB558B"/>
    <w:rsid w:val="00DB6074"/>
    <w:rsid w:val="00DC5D61"/>
    <w:rsid w:val="00DD36D0"/>
    <w:rsid w:val="00DD6A7B"/>
    <w:rsid w:val="00DE6FD7"/>
    <w:rsid w:val="00DF6166"/>
    <w:rsid w:val="00DF6A3B"/>
    <w:rsid w:val="00E12106"/>
    <w:rsid w:val="00E14D11"/>
    <w:rsid w:val="00E15A5D"/>
    <w:rsid w:val="00E16531"/>
    <w:rsid w:val="00E230D9"/>
    <w:rsid w:val="00E25FA9"/>
    <w:rsid w:val="00E30CA3"/>
    <w:rsid w:val="00E33998"/>
    <w:rsid w:val="00E36E4E"/>
    <w:rsid w:val="00E46D8A"/>
    <w:rsid w:val="00E6307A"/>
    <w:rsid w:val="00E72771"/>
    <w:rsid w:val="00E81A34"/>
    <w:rsid w:val="00E8370A"/>
    <w:rsid w:val="00E867FC"/>
    <w:rsid w:val="00E93569"/>
    <w:rsid w:val="00E9519D"/>
    <w:rsid w:val="00EA23AF"/>
    <w:rsid w:val="00EC1027"/>
    <w:rsid w:val="00EC1EA3"/>
    <w:rsid w:val="00EC686D"/>
    <w:rsid w:val="00EC6C01"/>
    <w:rsid w:val="00ED2F46"/>
    <w:rsid w:val="00EE0C01"/>
    <w:rsid w:val="00EE4D75"/>
    <w:rsid w:val="00F0587F"/>
    <w:rsid w:val="00F07456"/>
    <w:rsid w:val="00F12B0E"/>
    <w:rsid w:val="00F212FF"/>
    <w:rsid w:val="00F21529"/>
    <w:rsid w:val="00F27060"/>
    <w:rsid w:val="00F27217"/>
    <w:rsid w:val="00F3160D"/>
    <w:rsid w:val="00F318ED"/>
    <w:rsid w:val="00F34AB7"/>
    <w:rsid w:val="00F34E5C"/>
    <w:rsid w:val="00F36377"/>
    <w:rsid w:val="00F71C9E"/>
    <w:rsid w:val="00F77B65"/>
    <w:rsid w:val="00F976E3"/>
    <w:rsid w:val="00F97798"/>
    <w:rsid w:val="00FA31E1"/>
    <w:rsid w:val="00FA701E"/>
    <w:rsid w:val="00FC7F52"/>
    <w:rsid w:val="00FD32B3"/>
    <w:rsid w:val="00FD6127"/>
    <w:rsid w:val="00FE3030"/>
    <w:rsid w:val="00FE7434"/>
    <w:rsid w:val="00FE7997"/>
    <w:rsid w:val="00FF60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D870"/>
  <w15:chartTrackingRefBased/>
  <w15:docId w15:val="{F8A10306-3CC8-46FE-8232-08318F15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0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0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0073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0073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0073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0073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0073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0073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0073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0073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0073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0073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0073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0073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0073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0073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0073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0073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0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0073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0073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0073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00730"/>
    <w:pPr>
      <w:spacing w:before="160"/>
      <w:jc w:val="center"/>
    </w:pPr>
    <w:rPr>
      <w:i/>
      <w:iCs/>
      <w:color w:val="404040" w:themeColor="text1" w:themeTint="BF"/>
    </w:rPr>
  </w:style>
  <w:style w:type="character" w:customStyle="1" w:styleId="TsitaatMrk">
    <w:name w:val="Tsitaat Märk"/>
    <w:basedOn w:val="Liguvaikefont"/>
    <w:link w:val="Tsitaat"/>
    <w:uiPriority w:val="29"/>
    <w:rsid w:val="00000730"/>
    <w:rPr>
      <w:i/>
      <w:iCs/>
      <w:color w:val="404040" w:themeColor="text1" w:themeTint="BF"/>
    </w:rPr>
  </w:style>
  <w:style w:type="paragraph" w:styleId="Loendilik">
    <w:name w:val="List Paragraph"/>
    <w:basedOn w:val="Normaallaad"/>
    <w:uiPriority w:val="34"/>
    <w:qFormat/>
    <w:rsid w:val="00000730"/>
    <w:pPr>
      <w:ind w:left="720"/>
      <w:contextualSpacing/>
    </w:pPr>
  </w:style>
  <w:style w:type="character" w:styleId="Selgeltmrgatavrhutus">
    <w:name w:val="Intense Emphasis"/>
    <w:basedOn w:val="Liguvaikefont"/>
    <w:uiPriority w:val="21"/>
    <w:qFormat/>
    <w:rsid w:val="00000730"/>
    <w:rPr>
      <w:i/>
      <w:iCs/>
      <w:color w:val="0F4761" w:themeColor="accent1" w:themeShade="BF"/>
    </w:rPr>
  </w:style>
  <w:style w:type="paragraph" w:styleId="Selgeltmrgatavtsitaat">
    <w:name w:val="Intense Quote"/>
    <w:basedOn w:val="Normaallaad"/>
    <w:next w:val="Normaallaad"/>
    <w:link w:val="SelgeltmrgatavtsitaatMrk"/>
    <w:uiPriority w:val="30"/>
    <w:qFormat/>
    <w:rsid w:val="0000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00730"/>
    <w:rPr>
      <w:i/>
      <w:iCs/>
      <w:color w:val="0F4761" w:themeColor="accent1" w:themeShade="BF"/>
    </w:rPr>
  </w:style>
  <w:style w:type="character" w:styleId="Selgeltmrgatavviide">
    <w:name w:val="Intense Reference"/>
    <w:basedOn w:val="Liguvaikefont"/>
    <w:uiPriority w:val="32"/>
    <w:qFormat/>
    <w:rsid w:val="00000730"/>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A144B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144BA"/>
    <w:rPr>
      <w:sz w:val="20"/>
      <w:szCs w:val="20"/>
    </w:rPr>
  </w:style>
  <w:style w:type="character" w:styleId="Allmrkuseviide">
    <w:name w:val="footnote reference"/>
    <w:basedOn w:val="Liguvaikefont"/>
    <w:uiPriority w:val="99"/>
    <w:semiHidden/>
    <w:unhideWhenUsed/>
    <w:rsid w:val="00A144BA"/>
    <w:rPr>
      <w:vertAlign w:val="superscript"/>
    </w:rPr>
  </w:style>
  <w:style w:type="character" w:styleId="Hperlink">
    <w:name w:val="Hyperlink"/>
    <w:basedOn w:val="Liguvaikefont"/>
    <w:uiPriority w:val="99"/>
    <w:unhideWhenUsed/>
    <w:rsid w:val="008642B8"/>
    <w:rPr>
      <w:color w:val="467886" w:themeColor="hyperlink"/>
      <w:u w:val="single"/>
    </w:rPr>
  </w:style>
  <w:style w:type="character" w:styleId="Lahendamatamainimine">
    <w:name w:val="Unresolved Mention"/>
    <w:basedOn w:val="Liguvaikefont"/>
    <w:uiPriority w:val="99"/>
    <w:semiHidden/>
    <w:unhideWhenUsed/>
    <w:rsid w:val="008642B8"/>
    <w:rPr>
      <w:color w:val="605E5C"/>
      <w:shd w:val="clear" w:color="auto" w:fill="E1DFDD"/>
    </w:rPr>
  </w:style>
  <w:style w:type="paragraph" w:styleId="Pis">
    <w:name w:val="header"/>
    <w:basedOn w:val="Normaallaad"/>
    <w:link w:val="PisMrk"/>
    <w:uiPriority w:val="99"/>
    <w:unhideWhenUsed/>
    <w:rsid w:val="002913A5"/>
    <w:pPr>
      <w:tabs>
        <w:tab w:val="center" w:pos="4536"/>
        <w:tab w:val="right" w:pos="9072"/>
      </w:tabs>
      <w:spacing w:after="0" w:line="240" w:lineRule="auto"/>
    </w:pPr>
  </w:style>
  <w:style w:type="character" w:customStyle="1" w:styleId="PisMrk">
    <w:name w:val="Päis Märk"/>
    <w:basedOn w:val="Liguvaikefont"/>
    <w:link w:val="Pis"/>
    <w:uiPriority w:val="99"/>
    <w:rsid w:val="002913A5"/>
  </w:style>
  <w:style w:type="paragraph" w:styleId="Jalus">
    <w:name w:val="footer"/>
    <w:basedOn w:val="Normaallaad"/>
    <w:link w:val="JalusMrk"/>
    <w:uiPriority w:val="99"/>
    <w:unhideWhenUsed/>
    <w:rsid w:val="002913A5"/>
    <w:pPr>
      <w:tabs>
        <w:tab w:val="center" w:pos="4536"/>
        <w:tab w:val="right" w:pos="9072"/>
      </w:tabs>
      <w:spacing w:after="0" w:line="240" w:lineRule="auto"/>
    </w:pPr>
  </w:style>
  <w:style w:type="character" w:customStyle="1" w:styleId="JalusMrk">
    <w:name w:val="Jalus Märk"/>
    <w:basedOn w:val="Liguvaikefont"/>
    <w:link w:val="Jalus"/>
    <w:uiPriority w:val="99"/>
    <w:rsid w:val="002913A5"/>
  </w:style>
  <w:style w:type="paragraph" w:styleId="Sisukorrapealkiri">
    <w:name w:val="TOC Heading"/>
    <w:basedOn w:val="Pealkiri1"/>
    <w:next w:val="Normaallaad"/>
    <w:uiPriority w:val="39"/>
    <w:unhideWhenUsed/>
    <w:qFormat/>
    <w:rsid w:val="00187A75"/>
    <w:pPr>
      <w:spacing w:before="240" w:after="0"/>
      <w:outlineLvl w:val="9"/>
    </w:pPr>
    <w:rPr>
      <w:kern w:val="0"/>
      <w:sz w:val="32"/>
      <w:szCs w:val="32"/>
      <w:lang w:eastAsia="et-EE"/>
      <w14:ligatures w14:val="none"/>
    </w:rPr>
  </w:style>
  <w:style w:type="paragraph" w:styleId="SK1">
    <w:name w:val="toc 1"/>
    <w:basedOn w:val="Normaallaad"/>
    <w:next w:val="Normaallaad"/>
    <w:autoRedefine/>
    <w:uiPriority w:val="39"/>
    <w:unhideWhenUsed/>
    <w:rsid w:val="00070489"/>
    <w:pPr>
      <w:spacing w:after="100"/>
    </w:pPr>
  </w:style>
  <w:style w:type="table" w:styleId="Kontuurtabel">
    <w:name w:val="Table Grid"/>
    <w:basedOn w:val="Normaaltabel"/>
    <w:uiPriority w:val="39"/>
    <w:rsid w:val="006F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information.ie/en/justice/courts-system/district-court/" TargetMode="External"/><Relationship Id="rId18" Type="http://schemas.openxmlformats.org/officeDocument/2006/relationships/hyperlink" Target="https://www.domstolar.is/en/" TargetMode="External"/><Relationship Id="rId26" Type="http://schemas.openxmlformats.org/officeDocument/2006/relationships/hyperlink" Target="https://tiesas.lv/tiesas/saraksts" TargetMode="External"/><Relationship Id="rId21" Type="http://schemas.openxmlformats.org/officeDocument/2006/relationships/hyperlink" Target="https://www.justice.govt.nz/assets/Documents/Publications/Ministy-of-Justice-Courts-and-Tribunals-Justice-service-areas-MAP.pdf" TargetMode="External"/><Relationship Id="rId34" Type="http://schemas.openxmlformats.org/officeDocument/2006/relationships/hyperlink" Target="https://www.nyulawglobal.org/globalex/switzerland.html" TargetMode="External"/><Relationship Id="rId7" Type="http://schemas.openxmlformats.org/officeDocument/2006/relationships/endnotes" Target="endnotes.xml"/><Relationship Id="rId12" Type="http://schemas.openxmlformats.org/officeDocument/2006/relationships/hyperlink" Target="https://www.courts.ie/district-court" TargetMode="External"/><Relationship Id="rId17" Type="http://schemas.openxmlformats.org/officeDocument/2006/relationships/hyperlink" Target="https://www.domstol.dk/media/jqhg2psf/a-closer-look-at-the-courts-of-denmark.pdf" TargetMode="External"/><Relationship Id="rId25" Type="http://schemas.openxmlformats.org/officeDocument/2006/relationships/hyperlink" Target="https://likumi.lv/ta/id/342202-par-tiesam-to-darbibas-teritorijam-un-atrasanas-vietam" TargetMode="External"/><Relationship Id="rId33" Type="http://schemas.openxmlformats.org/officeDocument/2006/relationships/hyperlink" Target="https://www.ch.ch/en/political-system/operation-and-organisation-of-switzerland/courts/" TargetMode="External"/><Relationship Id="rId2" Type="http://schemas.openxmlformats.org/officeDocument/2006/relationships/numbering" Target="numbering.xml"/><Relationship Id="rId16" Type="http://schemas.openxmlformats.org/officeDocument/2006/relationships/hyperlink" Target="https://www.domstol.dk/alle-retsinstanser/" TargetMode="External"/><Relationship Id="rId20" Type="http://schemas.openxmlformats.org/officeDocument/2006/relationships/hyperlink" Target="https://www.courtsofnz.govt.nz/the-courts/" TargetMode="External"/><Relationship Id="rId29" Type="http://schemas.openxmlformats.org/officeDocument/2006/relationships/hyperlink" Target="https://www.teismai.lt/en/courts/judicial-system/6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ie/what-courts-do" TargetMode="External"/><Relationship Id="rId24" Type="http://schemas.openxmlformats.org/officeDocument/2006/relationships/hyperlink" Target="https://justice.public.lu/fr/organisation-justice/juridictions-judiciaires.html" TargetMode="External"/><Relationship Id="rId32" Type="http://schemas.openxmlformats.org/officeDocument/2006/relationships/hyperlink" Target="https://sudovi.hr/en/node/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izensinformation.ie/en/justice/courts-system/circuit-court/" TargetMode="External"/><Relationship Id="rId23" Type="http://schemas.openxmlformats.org/officeDocument/2006/relationships/hyperlink" Target="https://guichet.public.lu/en/citoyens/organismes/organismes_citoyens/justice-paix.html" TargetMode="External"/><Relationship Id="rId28" Type="http://schemas.openxmlformats.org/officeDocument/2006/relationships/hyperlink" Target="https://e-justice.europa.eu/18/ET/national_ordinary_courts?LITHUANIA&amp;member=1" TargetMode="External"/><Relationship Id="rId36" Type="http://schemas.openxmlformats.org/officeDocument/2006/relationships/fontTable" Target="fontTable.xml"/><Relationship Id="rId10" Type="http://schemas.openxmlformats.org/officeDocument/2006/relationships/hyperlink" Target="https://garda.maps.arcgis.com/apps/instant/sidebar/index.html?appid=119074e9ca7b4a06be2fb88c1ca61309" TargetMode="External"/><Relationship Id="rId19" Type="http://schemas.openxmlformats.org/officeDocument/2006/relationships/hyperlink" Target="https://www.districtcourts.govt.nz/about-the-courts/the-district-court-judiciary/" TargetMode="External"/><Relationship Id="rId31" Type="http://schemas.openxmlformats.org/officeDocument/2006/relationships/hyperlink" Target="https://e-justice.europa.eu/18/ET/national_ordinary_courts?SLOVENIA&amp;member=1" TargetMode="External"/><Relationship Id="rId4" Type="http://schemas.openxmlformats.org/officeDocument/2006/relationships/settings" Target="settings.xml"/><Relationship Id="rId9" Type="http://schemas.openxmlformats.org/officeDocument/2006/relationships/hyperlink" Target="https://garda.maps.arcgis.com/apps/instant/sidebar/index.html?appid=119074e9ca7b4a06be2fb88c1ca61309" TargetMode="External"/><Relationship Id="rId14" Type="http://schemas.openxmlformats.org/officeDocument/2006/relationships/hyperlink" Target="https://www.courts.ie/circuit-court" TargetMode="External"/><Relationship Id="rId22" Type="http://schemas.openxmlformats.org/officeDocument/2006/relationships/hyperlink" Target="https://www.ch.ch/en/political-system/operation-and-organisation-of-switzerland/courts/" TargetMode="External"/><Relationship Id="rId27" Type="http://schemas.openxmlformats.org/officeDocument/2006/relationships/hyperlink" Target="https://tiesas.lv/tiesu_sad" TargetMode="External"/><Relationship Id="rId30" Type="http://schemas.openxmlformats.org/officeDocument/2006/relationships/hyperlink" Target="https://www.sodisce.si/sodisca/sodni_sistem/" TargetMode="External"/><Relationship Id="rId35" Type="http://schemas.openxmlformats.org/officeDocument/2006/relationships/hyperlink" Target="https://www.fr.ch/pj/organigramme-du-pouvoir-judiciaire"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ra.ee/dgs/explorer.php" TargetMode="External"/><Relationship Id="rId3" Type="http://schemas.openxmlformats.org/officeDocument/2006/relationships/hyperlink" Target="https://www.ra.ee/dgs/explorer.php" TargetMode="External"/><Relationship Id="rId7" Type="http://schemas.openxmlformats.org/officeDocument/2006/relationships/hyperlink" Target="https://cms.advokatuur.ee/app/uploads/2023/07/oigus-nr-9-1939-pdf-1.pdf" TargetMode="External"/><Relationship Id="rId2" Type="http://schemas.openxmlformats.org/officeDocument/2006/relationships/hyperlink" Target="https://stenogrammid.riigikogu.ee/et/199109261000" TargetMode="External"/><Relationship Id="rId1" Type="http://schemas.openxmlformats.org/officeDocument/2006/relationships/hyperlink" Target="https://www.riigikogu.ee/tutvustus-ja-ajalugu/riigikogu-ajalugu/pohiseaduse-assamblee/pohiseaduse-assamblee-stenogrammid/" TargetMode="External"/><Relationship Id="rId6" Type="http://schemas.openxmlformats.org/officeDocument/2006/relationships/hyperlink" Target="https://cms.advokatuur.ee/app/uploads/2023/07/oigus-nr-9-1939-pdf-1.pdf" TargetMode="External"/><Relationship Id="rId5" Type="http://schemas.openxmlformats.org/officeDocument/2006/relationships/hyperlink" Target="file:///C:/Users/janarj2/Downloads/NLE13A008600.pdf" TargetMode="External"/><Relationship Id="rId4" Type="http://schemas.openxmlformats.org/officeDocument/2006/relationships/hyperlink" Target="https://www.ra.ee/dgs/explorer.php"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B9AC-2F46-43CF-B04A-258F8792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6388</Words>
  <Characters>37055</Characters>
  <Application>Microsoft Office Word</Application>
  <DocSecurity>0</DocSecurity>
  <Lines>308</Lines>
  <Paragraphs>86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Villu Kõve</dc:creator>
  <cp:keywords/>
  <dc:description/>
  <cp:lastModifiedBy>Tiina Pappel</cp:lastModifiedBy>
  <cp:revision>2</cp:revision>
  <cp:lastPrinted>2024-11-25T06:34:00Z</cp:lastPrinted>
  <dcterms:created xsi:type="dcterms:W3CDTF">2025-04-24T10:10:00Z</dcterms:created>
  <dcterms:modified xsi:type="dcterms:W3CDTF">2025-04-24T10:10:00Z</dcterms:modified>
</cp:coreProperties>
</file>